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B87" w:rsidRPr="0079007C" w:rsidRDefault="00507B87" w:rsidP="00EE38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</w:p>
    <w:p w:rsidR="00507B87" w:rsidRPr="0079007C" w:rsidRDefault="00507B87" w:rsidP="00EE38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 проекту решения Рязанской городской Думы</w:t>
      </w:r>
    </w:p>
    <w:p w:rsidR="00507B87" w:rsidRPr="0079007C" w:rsidRDefault="00507B87" w:rsidP="00EE38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«Об утверждении бюджета города Рязани на 2020 </w:t>
      </w:r>
      <w:r w:rsidR="00E27F5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год</w:t>
      </w:r>
    </w:p>
    <w:p w:rsidR="00507B87" w:rsidRPr="0079007C" w:rsidRDefault="00507B87" w:rsidP="00EE38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 на плановый период 2021 и 2022 годов»</w:t>
      </w:r>
    </w:p>
    <w:p w:rsidR="00507B87" w:rsidRPr="0079007C" w:rsidRDefault="00507B87" w:rsidP="00EE38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07B87" w:rsidRPr="0079007C" w:rsidRDefault="00507B87" w:rsidP="00EE38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>При формировании проекта решения Рязанской городской Думы                           «Об утверждении бюджета города Рязани на 2020 год и на плановый период                             2021 и 2022 годов» (далее ‒ проект решения) учтены положения:</w:t>
      </w:r>
    </w:p>
    <w:p w:rsidR="00507B87" w:rsidRPr="0079007C" w:rsidRDefault="00507B87" w:rsidP="00EE38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>- Послания Президента Российской Федерации Федеральному Собранию Российской Федерации от 20 февраля 2019 года;</w:t>
      </w:r>
    </w:p>
    <w:p w:rsidR="00507B87" w:rsidRPr="0079007C" w:rsidRDefault="00507B87" w:rsidP="00EE38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>- основных направлений бюджетной, налоговой и таможенно-тарифной политики Российской Федерации на 2020 год и на плановый период 2021                      и 2022 годов;</w:t>
      </w:r>
    </w:p>
    <w:p w:rsidR="00507B87" w:rsidRPr="0079007C" w:rsidRDefault="00507B87" w:rsidP="00EE38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>- основных направлений бюджетной и налоговой политики Рязанской области на 2020 год и на плановый период 2021 и 2022 годов.</w:t>
      </w:r>
    </w:p>
    <w:p w:rsidR="00507B87" w:rsidRPr="0079007C" w:rsidRDefault="00507B87" w:rsidP="00EE38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>Проект решения разработан в соответствии с прогнозом социально-экономического развития города Рязани на 2020 год и на период до 2022 года       и основными направлениями бюджетной и  налоговой политики города Рязани     на 2020 год и на плановый период 2021 и 2022 годов, утвержденными постановлением администрации города Рязани от 14.10.2019 № 4204.</w:t>
      </w:r>
    </w:p>
    <w:p w:rsidR="00507B87" w:rsidRPr="0079007C" w:rsidRDefault="00507B87" w:rsidP="00EE38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>Для обеспечения взвешенного подхода к формированию бюджета города     и минимизации рисков его несбалансированности параметры бюджета рассчитывались на основе базового варианта прогноза социально-экономического развития города Рязани на 2020 год и на период до 2022 года.</w:t>
      </w:r>
    </w:p>
    <w:p w:rsidR="00507B87" w:rsidRPr="0079007C" w:rsidRDefault="00507B87" w:rsidP="00EE38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Проект решения сформирован с учетом действующих 15 муниципальных </w:t>
      </w:r>
      <w:r w:rsidR="00822394"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         и 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>3 ведомственных целевых программ, охватывающих основные направления деятельности органов местного самоуправления города Рязани.</w:t>
      </w:r>
    </w:p>
    <w:p w:rsidR="00507B87" w:rsidRPr="0079007C" w:rsidRDefault="00507B87" w:rsidP="00EE3838">
      <w:pPr>
        <w:pStyle w:val="af7"/>
        <w:ind w:firstLine="709"/>
        <w:rPr>
          <w:rFonts w:ascii="Times New Roman" w:hAnsi="Times New Roman" w:cs="Times New Roman"/>
          <w:color w:val="000000"/>
        </w:rPr>
      </w:pPr>
      <w:r w:rsidRPr="0079007C">
        <w:rPr>
          <w:rFonts w:ascii="Times New Roman" w:hAnsi="Times New Roman" w:cs="Times New Roman"/>
          <w:color w:val="000000"/>
        </w:rPr>
        <w:tab/>
      </w:r>
    </w:p>
    <w:p w:rsidR="00507B87" w:rsidRPr="0079007C" w:rsidRDefault="00507B87" w:rsidP="004F7BC7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b/>
          <w:bCs/>
          <w:color w:val="000000"/>
          <w:sz w:val="28"/>
          <w:szCs w:val="28"/>
        </w:rPr>
        <w:t>I. Правовое регулирование вопросов, положенных в основу формирования проекта решения Рязанской городской Думы «Об утверждении бюджета города Рязани на 2020 год и на плановый период 2021 и 2022</w:t>
      </w:r>
      <w:r w:rsidR="004F7BC7" w:rsidRPr="0079007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годов»</w:t>
      </w:r>
    </w:p>
    <w:p w:rsidR="00507B87" w:rsidRPr="0079007C" w:rsidRDefault="00507B87" w:rsidP="00EE383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>Проект решения подготовлен в соответствии с требованиями Бюджетного кодекса Российской Федерации (далее ‒ Бюджетный кодекс),</w:t>
      </w:r>
      <w:r w:rsidRPr="0079007C">
        <w:rPr>
          <w:rFonts w:ascii="Times New Roman" w:hAnsi="Times New Roman" w:cs="Times New Roman"/>
          <w:b/>
          <w:bCs/>
          <w:snapToGrid w:val="0"/>
          <w:color w:val="000000"/>
          <w:sz w:val="28"/>
          <w:szCs w:val="28"/>
        </w:rPr>
        <w:t xml:space="preserve"> </w:t>
      </w:r>
      <w:r w:rsidRPr="0079007C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проекта закона Рязанской области «Об областном бюджете на 2020 год и на плановый период 2021 и 2022 годов» 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и решения Рязанской городской Думы от 18 февраля 2010 года № 58-I «Об утверждении Положения о бюджетном процессе в городе Рязани».</w:t>
      </w:r>
    </w:p>
    <w:p w:rsidR="00507B87" w:rsidRPr="0079007C" w:rsidRDefault="00507B87" w:rsidP="00EE38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>Общие требования к структуре и содержанию проекта решения о бюджете установлены статьей 184.1 Бюджетного кодекса.</w:t>
      </w:r>
    </w:p>
    <w:p w:rsidR="00507B87" w:rsidRPr="0079007C" w:rsidRDefault="00507B87" w:rsidP="00EE38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>Пунктом 1 статьи 184.1 Бюджетного кодекса установлен перечень основных характеристик бюджета, утверждаемых решением о бюджете (общий объем доходов, общий объем расходов, дефицит (профицит) бюджета).</w:t>
      </w:r>
    </w:p>
    <w:p w:rsidR="00507B87" w:rsidRPr="0079007C" w:rsidRDefault="00507B87" w:rsidP="00EE38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В статьях 1,2 проекта решения представлены все вышеуказанные характеристики бюджета города, в том числе условно утверждаемые расходы        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lastRenderedPageBreak/>
        <w:t>(не распределенные в плановом периоде в соответствии с классификацией расходов бюджетные ассигнования)</w:t>
      </w:r>
      <w:r w:rsidRPr="0079007C">
        <w:rPr>
          <w:color w:val="000000"/>
        </w:rPr>
        <w:t xml:space="preserve"> 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в объеме 2,5 процента на первый год планового периода (2021 год) и в объеме 5 процентов на второй год планового периода (2022 год) от общего объема расходов бюджета города Рязани </w:t>
      </w:r>
      <w:r w:rsidR="0014565A"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на соответствующий год планового периода (без учета расходов бюджета, предусмотренных за счет межбюджетных трансфертов, имеющих целевое назначение). </w:t>
      </w:r>
    </w:p>
    <w:p w:rsidR="00507B87" w:rsidRPr="0079007C" w:rsidRDefault="00507B87" w:rsidP="00EE38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>Статья 3 проекта решения в соответствии с требованиями пункта 3 статьи 184.1 Бюджетного кодекса предусматривает утверждение приложений  3 и 4          к проекту решения, устанавливающих перечень главных администраторов доходов бюджета города и перечень главных администраторов источников финансирования дефицита бюджета города, а также перечни закрепляемых          за ними доходов и источников финансирования дефицита бюджета города.</w:t>
      </w:r>
    </w:p>
    <w:p w:rsidR="00507B87" w:rsidRPr="0079007C" w:rsidRDefault="00507B87" w:rsidP="00EE38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>Статьей 4 проекта решения в соответствии с требованиями статьи 184.1 Бюджетного кодекса и решения Рязанской городской Думы от 20.10.2017                           № 373-</w:t>
      </w:r>
      <w:r w:rsidRPr="0079007C"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«О распределении бюджетных ассигнований бюджета города Рязани» предлагается утвердить на 2020 год и на плановый период 2021 и 2022 годов:</w:t>
      </w:r>
    </w:p>
    <w:p w:rsidR="00507B87" w:rsidRPr="0079007C" w:rsidRDefault="00507B87" w:rsidP="00EE38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(группам и подгруппам) видов расходов классификации расходов бюджета города в приложениях 5 и 6 к проекту решения;</w:t>
      </w:r>
    </w:p>
    <w:p w:rsidR="00507B87" w:rsidRPr="0079007C" w:rsidRDefault="00507B87" w:rsidP="00EE38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>распределение бюджетных ассигнований по разделам и подразделам классификации расходов бюджета города в приложениях 7 и 8 к проекту решения;</w:t>
      </w:r>
    </w:p>
    <w:p w:rsidR="00507B87" w:rsidRPr="0079007C" w:rsidRDefault="00507B87" w:rsidP="00EE38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>ведомственную структуру расходов бюджета города по главным распорядителям, целевым статьям (муниципальным программам                              и непрограммным направлениям деятельности), (группам и подгруппам) видов расходов классификации расходов бюджета города в приложениях 9 и 10                         к проекту решения;</w:t>
      </w:r>
    </w:p>
    <w:p w:rsidR="00507B87" w:rsidRPr="0079007C" w:rsidRDefault="00507B87" w:rsidP="00EE38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>общий объем бюджетных ассигнований на исполнение публичных нормативных обязательств.</w:t>
      </w:r>
    </w:p>
    <w:p w:rsidR="00507B87" w:rsidRPr="0079007C" w:rsidRDefault="00507B87" w:rsidP="00EE38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>Показатели расходов проекта бюджета города на 2020 год и на плановый период 2021 и 2022 годов сформированы в виде абсолютных величин, это позволит обеспечить сопоставление бюджетных ассигнований проекта решения             с бюджетными ассигнованиями текущего финансового года.</w:t>
      </w:r>
    </w:p>
    <w:p w:rsidR="00507B87" w:rsidRPr="0079007C" w:rsidRDefault="00507B87" w:rsidP="00EE38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Статьей 5 проекта решения в соответствии с требованиями статьи 78.2,                       79 Бюджетного кодекса определено, что осуществление бюджетных инвестиций    и предоставление субсидий на капитальные вложения в объекты муниципальной собственности осуществляются в соответствии с нормативными правовыми актами администрации города Рязани. </w:t>
      </w:r>
    </w:p>
    <w:p w:rsidR="00507B87" w:rsidRPr="0079007C" w:rsidRDefault="00507B87" w:rsidP="00EE38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>Статьей 6 проекта решения в соответствии со статьей 179.4 Бюджетного кодекса утверждается объем бюджетных ассигнований муниципального дорожного фонда города Рязани на 2020 год и на плановый период 2021 и 2022 годов.</w:t>
      </w:r>
    </w:p>
    <w:p w:rsidR="00507B87" w:rsidRPr="0079007C" w:rsidRDefault="00507B87" w:rsidP="00EE38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Статья 7 проекта решения в соответствии с правом, предоставленным статьей 81 Бюджетного кодекса, устанавливает размер резервного фонда 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lastRenderedPageBreak/>
        <w:t>администрации города Рязани и целевого финансового резерва                            для предупреждения и ликвидации чрезвычайных ситуаций на 2020 год                         и на плановый период 2021 и 2022 годов.</w:t>
      </w:r>
    </w:p>
    <w:p w:rsidR="00507B87" w:rsidRPr="0079007C" w:rsidRDefault="00507B87" w:rsidP="00EE38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>Статьей 8 проекта решения в соответствии с положениями Бюджетного кодекса предлагается установить предоставление субсидий юридическим лицам (за исключением субсидий государственным (муниципальным учреждениям), индивидуальным предпринимателям ‒ производителям товаров, работ, услуг,          а также некоммерческим организациям, порядок предоставления которых должен быть установлен администрацией города Рязани.</w:t>
      </w:r>
    </w:p>
    <w:p w:rsidR="00507B87" w:rsidRPr="0079007C" w:rsidRDefault="00507B87" w:rsidP="00EE38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В статье 9 проекта реализованы положения Бюджетного кодекса </w:t>
      </w:r>
      <w:r w:rsidR="003675D5"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>об  утверждении  источников финансирования дефицита бюджета города  на 2020 год и на плановый период 2021 и 2022 годов, отраженные в приложениях  11 и 12 к проекту бюджета.</w:t>
      </w:r>
    </w:p>
    <w:p w:rsidR="00507B87" w:rsidRPr="0079007C" w:rsidRDefault="00507B87" w:rsidP="00EE38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>Статья 10 проекта решения регулирует вопросы управления муниципальным долгом, в том числе предусматривает утверждение                              в соответствии с требованиями Бюджетного кодекса (статьи 110.1 и 110.2) на 2020 и на плановый период 2021 и 2022 годов программы внутренних заимствований.</w:t>
      </w:r>
    </w:p>
    <w:p w:rsidR="00507B87" w:rsidRPr="0079007C" w:rsidRDefault="00507B87" w:rsidP="00EE38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>Статьей 11 проекта решения применительно к исполнению бюджета города в 2020 году устанавливается перечень оснований для внесения изменений в ходе исполнения бюджетов в показатели сводной бюджетной росписи и процедура оплаты получателем средств бюджета города Рязани авансовых платежей при заключении договоров (муниципальных контрактов) на поставку товаров, работ, услуг.</w:t>
      </w:r>
    </w:p>
    <w:p w:rsidR="00507B87" w:rsidRPr="0079007C" w:rsidRDefault="00507B87" w:rsidP="00EE38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07B87" w:rsidRPr="0079007C" w:rsidRDefault="00507B87" w:rsidP="00EE38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b/>
          <w:bCs/>
          <w:color w:val="000000"/>
          <w:sz w:val="28"/>
          <w:szCs w:val="28"/>
        </w:rPr>
        <w:t>II. Основные характеристики проекта бюджета города</w:t>
      </w:r>
    </w:p>
    <w:p w:rsidR="00507B87" w:rsidRPr="0079007C" w:rsidRDefault="00507B87" w:rsidP="00EE38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2020 год и на плановый период 2021 и 2022 годов</w:t>
      </w:r>
    </w:p>
    <w:p w:rsidR="00507B87" w:rsidRPr="0079007C" w:rsidRDefault="00507B87" w:rsidP="00EE38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507B87" w:rsidRPr="0079007C" w:rsidRDefault="00507B87" w:rsidP="00EE3838">
      <w:pPr>
        <w:tabs>
          <w:tab w:val="left" w:pos="198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noProof/>
          <w:snapToGrid w:val="0"/>
          <w:color w:val="000000"/>
          <w:sz w:val="28"/>
          <w:szCs w:val="28"/>
        </w:rPr>
        <w:t xml:space="preserve">Прогноз основных характеристик бюджета города на 2020 год                               и на плановый период 2021 и 2022 годов сформирован на основе базового варианта прогноза </w:t>
      </w:r>
      <w:r w:rsidRPr="0079007C">
        <w:rPr>
          <w:rFonts w:ascii="Times New Roman" w:hAnsi="Times New Roman" w:cs="Times New Roman"/>
          <w:snapToGrid w:val="0"/>
          <w:color w:val="000000"/>
          <w:sz w:val="28"/>
          <w:szCs w:val="28"/>
        </w:rPr>
        <w:t>социально-экономического развития города,</w:t>
      </w:r>
      <w:r w:rsidRPr="0079007C">
        <w:rPr>
          <w:rFonts w:ascii="Times New Roman" w:hAnsi="Times New Roman" w:cs="Times New Roman"/>
          <w:noProof/>
          <w:snapToGrid w:val="0"/>
          <w:color w:val="000000"/>
          <w:sz w:val="28"/>
          <w:szCs w:val="28"/>
        </w:rPr>
        <w:t xml:space="preserve"> </w:t>
      </w:r>
      <w:r w:rsidRPr="0079007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изменений бюджетного и налогового законодательства, ожидаемого исполнения бюджета города за 2019 год</w:t>
      </w:r>
      <w:r w:rsidRPr="0079007C">
        <w:rPr>
          <w:rFonts w:ascii="Times New Roman" w:hAnsi="Times New Roman" w:cs="Times New Roman"/>
          <w:noProof/>
          <w:snapToGrid w:val="0"/>
          <w:color w:val="000000"/>
          <w:sz w:val="28"/>
          <w:szCs w:val="28"/>
        </w:rPr>
        <w:t>.</w:t>
      </w:r>
      <w:r w:rsidRPr="0079007C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</w:t>
      </w:r>
    </w:p>
    <w:p w:rsidR="00507B87" w:rsidRPr="0079007C" w:rsidRDefault="00507B87" w:rsidP="00EE38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>Основные характеристики бюджета города Рязани на 2020 год и до 2022 года:</w:t>
      </w:r>
    </w:p>
    <w:p w:rsidR="00507B87" w:rsidRPr="0079007C" w:rsidRDefault="00507B87" w:rsidP="00EE3838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79007C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 w:rsidRPr="0079007C">
        <w:rPr>
          <w:rFonts w:ascii="Times New Roman" w:hAnsi="Times New Roman" w:cs="Times New Roman"/>
          <w:i/>
          <w:color w:val="000000"/>
          <w:sz w:val="24"/>
          <w:szCs w:val="24"/>
        </w:rPr>
        <w:t>тыс. рублей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28"/>
        <w:gridCol w:w="1177"/>
        <w:gridCol w:w="1265"/>
        <w:gridCol w:w="789"/>
        <w:gridCol w:w="1178"/>
        <w:gridCol w:w="789"/>
        <w:gridCol w:w="1194"/>
        <w:gridCol w:w="635"/>
        <w:gridCol w:w="1178"/>
        <w:gridCol w:w="704"/>
      </w:tblGrid>
      <w:tr w:rsidR="0026614D" w:rsidRPr="0079007C" w:rsidTr="00827066">
        <w:trPr>
          <w:cantSplit/>
          <w:trHeight w:val="20"/>
          <w:jc w:val="center"/>
        </w:trPr>
        <w:tc>
          <w:tcPr>
            <w:tcW w:w="606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5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2018 год </w:t>
            </w:r>
          </w:p>
        </w:tc>
        <w:tc>
          <w:tcPr>
            <w:tcW w:w="101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2019 год </w:t>
            </w:r>
          </w:p>
        </w:tc>
        <w:tc>
          <w:tcPr>
            <w:tcW w:w="97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2020год </w:t>
            </w:r>
          </w:p>
        </w:tc>
        <w:tc>
          <w:tcPr>
            <w:tcW w:w="90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2021 год </w:t>
            </w:r>
          </w:p>
        </w:tc>
        <w:tc>
          <w:tcPr>
            <w:tcW w:w="92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2022 год</w:t>
            </w:r>
          </w:p>
        </w:tc>
      </w:tr>
      <w:tr w:rsidR="0026614D" w:rsidRPr="0079007C" w:rsidTr="00827066">
        <w:trPr>
          <w:cantSplit/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07B87" w:rsidRPr="0079007C" w:rsidRDefault="00507B87" w:rsidP="00EE38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факт</w:t>
            </w:r>
          </w:p>
        </w:tc>
        <w:tc>
          <w:tcPr>
            <w:tcW w:w="62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план</w:t>
            </w: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B87" w:rsidRPr="0079007C" w:rsidRDefault="00507B87" w:rsidP="00EE38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% к преды-дуще</w:t>
            </w:r>
          </w:p>
          <w:p w:rsidR="00507B87" w:rsidRPr="0079007C" w:rsidRDefault="00507B87" w:rsidP="00EE38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 </w:t>
            </w:r>
          </w:p>
          <w:p w:rsidR="00507B87" w:rsidRPr="0079007C" w:rsidRDefault="00507B87" w:rsidP="00EE38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году</w:t>
            </w:r>
          </w:p>
        </w:tc>
        <w:tc>
          <w:tcPr>
            <w:tcW w:w="5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B87" w:rsidRPr="0079007C" w:rsidRDefault="00507B87" w:rsidP="00EE38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% к преды-дуще</w:t>
            </w:r>
          </w:p>
          <w:p w:rsidR="00507B87" w:rsidRPr="0079007C" w:rsidRDefault="00507B87" w:rsidP="00EE38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 </w:t>
            </w:r>
          </w:p>
          <w:p w:rsidR="00507B87" w:rsidRPr="0079007C" w:rsidRDefault="00507B87" w:rsidP="00EE38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году</w:t>
            </w:r>
          </w:p>
        </w:tc>
        <w:tc>
          <w:tcPr>
            <w:tcW w:w="5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прогноз</w:t>
            </w:r>
          </w:p>
        </w:tc>
        <w:tc>
          <w:tcPr>
            <w:tcW w:w="3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07B87" w:rsidRPr="0079007C" w:rsidRDefault="00507B87" w:rsidP="00EE38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% к преды-дуще</w:t>
            </w:r>
          </w:p>
          <w:p w:rsidR="00507B87" w:rsidRPr="0079007C" w:rsidRDefault="00507B87" w:rsidP="00EE38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 </w:t>
            </w:r>
          </w:p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году</w:t>
            </w:r>
          </w:p>
        </w:tc>
        <w:tc>
          <w:tcPr>
            <w:tcW w:w="5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прогноз</w:t>
            </w:r>
          </w:p>
        </w:tc>
        <w:tc>
          <w:tcPr>
            <w:tcW w:w="34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07B87" w:rsidRPr="0079007C" w:rsidRDefault="00507B87" w:rsidP="00EE38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% к преды-дуще</w:t>
            </w:r>
          </w:p>
          <w:p w:rsidR="00507B87" w:rsidRPr="0079007C" w:rsidRDefault="00507B87" w:rsidP="00EE38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 </w:t>
            </w:r>
          </w:p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году</w:t>
            </w:r>
          </w:p>
        </w:tc>
      </w:tr>
      <w:tr w:rsidR="0026614D" w:rsidRPr="0079007C" w:rsidTr="00827066">
        <w:trPr>
          <w:cantSplit/>
          <w:trHeight w:val="20"/>
          <w:jc w:val="center"/>
        </w:trPr>
        <w:tc>
          <w:tcPr>
            <w:tcW w:w="60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Доходы</w:t>
            </w:r>
          </w:p>
        </w:tc>
        <w:tc>
          <w:tcPr>
            <w:tcW w:w="5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10 660 841,0</w:t>
            </w:r>
          </w:p>
        </w:tc>
        <w:tc>
          <w:tcPr>
            <w:tcW w:w="62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11 911 808,5</w:t>
            </w:r>
          </w:p>
        </w:tc>
        <w:tc>
          <w:tcPr>
            <w:tcW w:w="3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111,7</w:t>
            </w:r>
          </w:p>
        </w:tc>
        <w:tc>
          <w:tcPr>
            <w:tcW w:w="5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9 766 997,1</w:t>
            </w:r>
          </w:p>
        </w:tc>
        <w:tc>
          <w:tcPr>
            <w:tcW w:w="3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82,0</w:t>
            </w:r>
          </w:p>
        </w:tc>
        <w:tc>
          <w:tcPr>
            <w:tcW w:w="5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9 690 242,0</w:t>
            </w:r>
          </w:p>
        </w:tc>
        <w:tc>
          <w:tcPr>
            <w:tcW w:w="3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99,2</w:t>
            </w:r>
          </w:p>
        </w:tc>
        <w:tc>
          <w:tcPr>
            <w:tcW w:w="5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10 018 290,4</w:t>
            </w:r>
          </w:p>
        </w:tc>
        <w:tc>
          <w:tcPr>
            <w:tcW w:w="34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103,4</w:t>
            </w:r>
          </w:p>
        </w:tc>
      </w:tr>
      <w:tr w:rsidR="0026614D" w:rsidRPr="0079007C" w:rsidTr="00827066">
        <w:trPr>
          <w:cantSplit/>
          <w:trHeight w:val="20"/>
          <w:jc w:val="center"/>
        </w:trPr>
        <w:tc>
          <w:tcPr>
            <w:tcW w:w="60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6614D" w:rsidRPr="0079007C" w:rsidTr="00827066">
        <w:trPr>
          <w:cantSplit/>
          <w:trHeight w:val="20"/>
          <w:jc w:val="center"/>
        </w:trPr>
        <w:tc>
          <w:tcPr>
            <w:tcW w:w="60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Расходы</w:t>
            </w:r>
          </w:p>
        </w:tc>
        <w:tc>
          <w:tcPr>
            <w:tcW w:w="5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11 058 126,9</w:t>
            </w:r>
          </w:p>
        </w:tc>
        <w:tc>
          <w:tcPr>
            <w:tcW w:w="62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12 391 767,5</w:t>
            </w:r>
          </w:p>
        </w:tc>
        <w:tc>
          <w:tcPr>
            <w:tcW w:w="3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112,1</w:t>
            </w:r>
          </w:p>
        </w:tc>
        <w:tc>
          <w:tcPr>
            <w:tcW w:w="5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10 197 397,1</w:t>
            </w:r>
          </w:p>
        </w:tc>
        <w:tc>
          <w:tcPr>
            <w:tcW w:w="3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82,3</w:t>
            </w:r>
          </w:p>
        </w:tc>
        <w:tc>
          <w:tcPr>
            <w:tcW w:w="5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10 166 242,0</w:t>
            </w:r>
          </w:p>
        </w:tc>
        <w:tc>
          <w:tcPr>
            <w:tcW w:w="3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99,7</w:t>
            </w:r>
          </w:p>
        </w:tc>
        <w:tc>
          <w:tcPr>
            <w:tcW w:w="5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10 514 290,4</w:t>
            </w:r>
          </w:p>
        </w:tc>
        <w:tc>
          <w:tcPr>
            <w:tcW w:w="34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103,4</w:t>
            </w:r>
          </w:p>
        </w:tc>
      </w:tr>
      <w:tr w:rsidR="0026614D" w:rsidRPr="0079007C" w:rsidTr="00827066">
        <w:trPr>
          <w:cantSplit/>
          <w:trHeight w:val="20"/>
          <w:jc w:val="center"/>
        </w:trPr>
        <w:tc>
          <w:tcPr>
            <w:tcW w:w="60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6614D" w:rsidRPr="0079007C" w:rsidTr="00827066">
        <w:trPr>
          <w:cantSplit/>
          <w:trHeight w:val="20"/>
          <w:jc w:val="center"/>
        </w:trPr>
        <w:tc>
          <w:tcPr>
            <w:tcW w:w="60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Дефицит/</w:t>
            </w:r>
          </w:p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профицит</w:t>
            </w:r>
          </w:p>
        </w:tc>
        <w:tc>
          <w:tcPr>
            <w:tcW w:w="5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-397 285,9</w:t>
            </w:r>
          </w:p>
        </w:tc>
        <w:tc>
          <w:tcPr>
            <w:tcW w:w="62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-479 959,0</w:t>
            </w:r>
          </w:p>
        </w:tc>
        <w:tc>
          <w:tcPr>
            <w:tcW w:w="3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bottom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120,8</w:t>
            </w:r>
          </w:p>
        </w:tc>
        <w:tc>
          <w:tcPr>
            <w:tcW w:w="5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-430 400,0</w:t>
            </w:r>
          </w:p>
        </w:tc>
        <w:tc>
          <w:tcPr>
            <w:tcW w:w="3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bottom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89,7</w:t>
            </w:r>
          </w:p>
        </w:tc>
        <w:tc>
          <w:tcPr>
            <w:tcW w:w="5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-476 000,0</w:t>
            </w:r>
          </w:p>
        </w:tc>
        <w:tc>
          <w:tcPr>
            <w:tcW w:w="3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bottom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110,6</w:t>
            </w:r>
          </w:p>
        </w:tc>
        <w:tc>
          <w:tcPr>
            <w:tcW w:w="5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-496 000,0</w:t>
            </w:r>
          </w:p>
        </w:tc>
        <w:tc>
          <w:tcPr>
            <w:tcW w:w="34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bottom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104,2</w:t>
            </w:r>
          </w:p>
        </w:tc>
      </w:tr>
    </w:tbl>
    <w:p w:rsidR="00507B87" w:rsidRPr="0079007C" w:rsidRDefault="00507B87" w:rsidP="00EE383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007C">
        <w:rPr>
          <w:rFonts w:ascii="Times New Roman" w:hAnsi="Times New Roman" w:cs="Times New Roman"/>
          <w:color w:val="000000"/>
          <w:sz w:val="24"/>
          <w:szCs w:val="24"/>
        </w:rPr>
        <w:t>* Показатели сводной бюджетной росписи по состоянию на 01.10.2019 г.</w:t>
      </w:r>
    </w:p>
    <w:p w:rsidR="00507B87" w:rsidRPr="0079007C" w:rsidRDefault="00507B87" w:rsidP="00EE383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07B87" w:rsidRPr="0079007C" w:rsidRDefault="00507B87" w:rsidP="00EE383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Динамика доходов бюджета города Рязани на 2020-2022 годы приведена ниже:</w:t>
      </w:r>
    </w:p>
    <w:p w:rsidR="00507B87" w:rsidRPr="0079007C" w:rsidRDefault="00507B87" w:rsidP="00EE3838">
      <w:pPr>
        <w:tabs>
          <w:tab w:val="left" w:pos="708"/>
        </w:tabs>
        <w:suppressAutoHyphens/>
        <w:spacing w:after="0" w:line="168" w:lineRule="auto"/>
        <w:ind w:firstLine="709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79007C">
        <w:rPr>
          <w:rFonts w:ascii="Times New Roman" w:hAnsi="Times New Roman" w:cs="Times New Roman"/>
          <w:i/>
          <w:color w:val="000000"/>
          <w:sz w:val="24"/>
          <w:szCs w:val="24"/>
        </w:rPr>
        <w:t>тыс. рублей</w:t>
      </w:r>
    </w:p>
    <w:tbl>
      <w:tblPr>
        <w:tblW w:w="5000" w:type="pct"/>
        <w:tblInd w:w="-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59"/>
        <w:gridCol w:w="1478"/>
        <w:gridCol w:w="1478"/>
        <w:gridCol w:w="1478"/>
        <w:gridCol w:w="1450"/>
        <w:gridCol w:w="1594"/>
      </w:tblGrid>
      <w:tr w:rsidR="0026614D" w:rsidRPr="0079007C" w:rsidTr="00827066">
        <w:trPr>
          <w:cantSplit/>
          <w:trHeight w:val="20"/>
        </w:trPr>
        <w:tc>
          <w:tcPr>
            <w:tcW w:w="13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 год</w:t>
            </w:r>
          </w:p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факт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2019 год</w:t>
            </w:r>
          </w:p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план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2020 год</w:t>
            </w:r>
          </w:p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год</w:t>
            </w:r>
          </w:p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прогноз</w:t>
            </w:r>
          </w:p>
        </w:tc>
        <w:tc>
          <w:tcPr>
            <w:tcW w:w="7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2022 год</w:t>
            </w:r>
          </w:p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прогноз</w:t>
            </w:r>
          </w:p>
        </w:tc>
      </w:tr>
      <w:tr w:rsidR="0026614D" w:rsidRPr="0079007C" w:rsidTr="00827066">
        <w:trPr>
          <w:cantSplit/>
          <w:trHeight w:val="20"/>
        </w:trPr>
        <w:tc>
          <w:tcPr>
            <w:tcW w:w="13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Доходы, всего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10 660 841,0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11 911 808,5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9 766 997,1</w:t>
            </w:r>
          </w:p>
        </w:tc>
        <w:tc>
          <w:tcPr>
            <w:tcW w:w="7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9 690 242,0</w:t>
            </w:r>
          </w:p>
        </w:tc>
        <w:tc>
          <w:tcPr>
            <w:tcW w:w="7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10 018 290,4</w:t>
            </w:r>
          </w:p>
        </w:tc>
      </w:tr>
      <w:tr w:rsidR="0026614D" w:rsidRPr="0079007C" w:rsidTr="00827066">
        <w:trPr>
          <w:cantSplit/>
          <w:trHeight w:val="20"/>
        </w:trPr>
        <w:tc>
          <w:tcPr>
            <w:tcW w:w="13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6614D" w:rsidRPr="0079007C" w:rsidTr="00827066">
        <w:trPr>
          <w:cantSplit/>
          <w:trHeight w:val="288"/>
        </w:trPr>
        <w:tc>
          <w:tcPr>
            <w:tcW w:w="131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Налоговые и неналоговые  доходы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4 816 423,6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4 802 123,9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4 782 861,7</w:t>
            </w:r>
          </w:p>
        </w:tc>
        <w:tc>
          <w:tcPr>
            <w:tcW w:w="71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4 760 594,8</w:t>
            </w:r>
          </w:p>
        </w:tc>
        <w:tc>
          <w:tcPr>
            <w:tcW w:w="78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4 966 548,6</w:t>
            </w:r>
          </w:p>
        </w:tc>
      </w:tr>
      <w:tr w:rsidR="0026614D" w:rsidRPr="0079007C" w:rsidTr="00827066">
        <w:trPr>
          <w:cantSplit/>
          <w:trHeight w:val="114"/>
        </w:trPr>
        <w:tc>
          <w:tcPr>
            <w:tcW w:w="1312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Темпы роста (снижения) налоговых и неналоговых доходов к предыдущему году, %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107,4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99,7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99,6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104,3</w:t>
            </w:r>
          </w:p>
        </w:tc>
      </w:tr>
      <w:tr w:rsidR="0026614D" w:rsidRPr="0079007C" w:rsidTr="00827066">
        <w:trPr>
          <w:cantSplit/>
          <w:trHeight w:val="20"/>
        </w:trPr>
        <w:tc>
          <w:tcPr>
            <w:tcW w:w="1312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Доля налоговых и неналоговых доходов в общем объеме доходов, %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45,2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40,3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49,0</w:t>
            </w:r>
          </w:p>
        </w:tc>
        <w:tc>
          <w:tcPr>
            <w:tcW w:w="7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49,1</w:t>
            </w:r>
          </w:p>
        </w:tc>
        <w:tc>
          <w:tcPr>
            <w:tcW w:w="7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49,6</w:t>
            </w:r>
          </w:p>
        </w:tc>
      </w:tr>
      <w:tr w:rsidR="0026614D" w:rsidRPr="0079007C" w:rsidTr="00827066">
        <w:trPr>
          <w:cantSplit/>
          <w:trHeight w:val="20"/>
        </w:trPr>
        <w:tc>
          <w:tcPr>
            <w:tcW w:w="13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5 844 417,4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7 109 684,6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4 984 135,4</w:t>
            </w:r>
          </w:p>
        </w:tc>
        <w:tc>
          <w:tcPr>
            <w:tcW w:w="7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4 929 647,2</w:t>
            </w:r>
          </w:p>
        </w:tc>
        <w:tc>
          <w:tcPr>
            <w:tcW w:w="7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5 051 741,8</w:t>
            </w:r>
          </w:p>
        </w:tc>
      </w:tr>
      <w:tr w:rsidR="0026614D" w:rsidRPr="0079007C" w:rsidTr="00827066">
        <w:trPr>
          <w:cantSplit/>
          <w:trHeight w:val="20"/>
        </w:trPr>
        <w:tc>
          <w:tcPr>
            <w:tcW w:w="13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Темпы прироста доходов всего к предыдущему году, %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109,5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111,7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82,0</w:t>
            </w:r>
          </w:p>
        </w:tc>
        <w:tc>
          <w:tcPr>
            <w:tcW w:w="7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99,2</w:t>
            </w:r>
          </w:p>
        </w:tc>
        <w:tc>
          <w:tcPr>
            <w:tcW w:w="7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9007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103,4</w:t>
            </w:r>
          </w:p>
        </w:tc>
      </w:tr>
    </w:tbl>
    <w:p w:rsidR="00507B87" w:rsidRPr="0079007C" w:rsidRDefault="00507B87" w:rsidP="00EE383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* </w:t>
      </w:r>
      <w:r w:rsidRPr="0079007C">
        <w:rPr>
          <w:rFonts w:ascii="Times New Roman" w:hAnsi="Times New Roman" w:cs="Times New Roman"/>
          <w:color w:val="000000"/>
          <w:sz w:val="24"/>
          <w:szCs w:val="24"/>
        </w:rPr>
        <w:t>Показатели сводной бюджетной росписи по состоянию на 01.10.2019 г.</w:t>
      </w:r>
    </w:p>
    <w:p w:rsidR="00507B87" w:rsidRPr="0079007C" w:rsidRDefault="00507B87" w:rsidP="00EE3838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>В 2020 году по сравнению с 2019 годом предусматривается снижение   общего объема доходов бюджета города на 18 % в связи с отсутствием                   в проекте бюджета субсидий из вышестоящего бюджета, а также снижением собственных налоговых и неналоговых доходов на 0,4%.  Объем целевых средств из областного бюджета будет уточняться в 2020 году по мере распределения                               их по муниципальным образованиям. В 2021 году доходы снижаются на 0,8%</w:t>
      </w:r>
      <w:r w:rsidR="001A6380"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в связи с сокращением объема налоговых и неналоговых доходов на 0,5%, безвозмездных поступлений – на 1,1%. В 2022 году рост доходов составит 3,4 %, собственные налоговые и неналоговые доходы прогнозируются с ростом на 4,3 %, безвозмездные  поступления - на 2,5 %. </w:t>
      </w:r>
    </w:p>
    <w:p w:rsidR="00507B87" w:rsidRPr="0079007C" w:rsidRDefault="00507B87" w:rsidP="00EE3838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>Предельный объем расходов бюджета города на 2020 год и на плановый период 2021 и 2022 годов определен исходя из прогноза поступления доходов          в бюджет города Рязани и источников финансирования дефицита.</w:t>
      </w:r>
    </w:p>
    <w:p w:rsidR="00507B87" w:rsidRPr="0079007C" w:rsidRDefault="00507B87" w:rsidP="00EE3838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>Динамика расходов бюджета города приведена ниже:</w:t>
      </w:r>
    </w:p>
    <w:p w:rsidR="00507B87" w:rsidRPr="0079007C" w:rsidRDefault="00507B87" w:rsidP="00EE3838">
      <w:pPr>
        <w:tabs>
          <w:tab w:val="left" w:pos="708"/>
        </w:tabs>
        <w:suppressAutoHyphens/>
        <w:spacing w:after="0" w:line="228" w:lineRule="auto"/>
        <w:ind w:firstLine="851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79007C">
        <w:rPr>
          <w:rFonts w:ascii="Times New Roman" w:hAnsi="Times New Roman" w:cs="Times New Roman"/>
          <w:i/>
          <w:color w:val="000000"/>
          <w:sz w:val="24"/>
          <w:szCs w:val="24"/>
        </w:rPr>
        <w:t>тыс. рублей</w:t>
      </w:r>
    </w:p>
    <w:tbl>
      <w:tblPr>
        <w:tblW w:w="5000" w:type="pct"/>
        <w:tblInd w:w="-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567"/>
        <w:gridCol w:w="1474"/>
        <w:gridCol w:w="1707"/>
        <w:gridCol w:w="1628"/>
        <w:gridCol w:w="1322"/>
        <w:gridCol w:w="1439"/>
      </w:tblGrid>
      <w:tr w:rsidR="0026614D" w:rsidRPr="0079007C" w:rsidTr="00827066">
        <w:trPr>
          <w:cantSplit/>
          <w:trHeight w:val="20"/>
        </w:trPr>
        <w:tc>
          <w:tcPr>
            <w:tcW w:w="12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Показатели</w:t>
            </w:r>
          </w:p>
        </w:tc>
        <w:tc>
          <w:tcPr>
            <w:tcW w:w="7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2018 год</w:t>
            </w:r>
          </w:p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факт</w:t>
            </w:r>
          </w:p>
        </w:tc>
        <w:tc>
          <w:tcPr>
            <w:tcW w:w="8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2019 год</w:t>
            </w:r>
          </w:p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план</w:t>
            </w:r>
          </w:p>
        </w:tc>
        <w:tc>
          <w:tcPr>
            <w:tcW w:w="8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2020 год</w:t>
            </w:r>
          </w:p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проект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2021 год</w:t>
            </w:r>
          </w:p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прогноз</w:t>
            </w:r>
          </w:p>
        </w:tc>
        <w:tc>
          <w:tcPr>
            <w:tcW w:w="7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2022 год</w:t>
            </w:r>
          </w:p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прогноз</w:t>
            </w:r>
          </w:p>
        </w:tc>
      </w:tr>
      <w:tr w:rsidR="0026614D" w:rsidRPr="0079007C" w:rsidTr="00827066">
        <w:trPr>
          <w:cantSplit/>
          <w:trHeight w:val="20"/>
        </w:trPr>
        <w:tc>
          <w:tcPr>
            <w:tcW w:w="12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Расходы всего</w:t>
            </w: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 (тыс. рублей)</w:t>
            </w:r>
          </w:p>
        </w:tc>
        <w:tc>
          <w:tcPr>
            <w:tcW w:w="7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11 058 126,9</w:t>
            </w:r>
          </w:p>
        </w:tc>
        <w:tc>
          <w:tcPr>
            <w:tcW w:w="8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12 391 767,5</w:t>
            </w:r>
          </w:p>
        </w:tc>
        <w:tc>
          <w:tcPr>
            <w:tcW w:w="8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10 197 397,1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10 166 242,0</w:t>
            </w:r>
          </w:p>
        </w:tc>
        <w:tc>
          <w:tcPr>
            <w:tcW w:w="7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10 514 290,4</w:t>
            </w:r>
          </w:p>
        </w:tc>
      </w:tr>
      <w:tr w:rsidR="0026614D" w:rsidRPr="0079007C" w:rsidTr="00827066">
        <w:trPr>
          <w:cantSplit/>
          <w:trHeight w:val="20"/>
        </w:trPr>
        <w:tc>
          <w:tcPr>
            <w:tcW w:w="12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Изменения к предыдущему году (тыс. рублей)</w:t>
            </w:r>
          </w:p>
        </w:tc>
        <w:tc>
          <w:tcPr>
            <w:tcW w:w="7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1 158 862,6</w:t>
            </w:r>
          </w:p>
        </w:tc>
        <w:tc>
          <w:tcPr>
            <w:tcW w:w="8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1 333 640,6</w:t>
            </w:r>
          </w:p>
        </w:tc>
        <w:tc>
          <w:tcPr>
            <w:tcW w:w="8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-2 194 370,4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-31 155,1</w:t>
            </w:r>
          </w:p>
        </w:tc>
        <w:tc>
          <w:tcPr>
            <w:tcW w:w="7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348 048,4</w:t>
            </w:r>
          </w:p>
        </w:tc>
      </w:tr>
      <w:tr w:rsidR="0026614D" w:rsidRPr="0079007C" w:rsidTr="00827066">
        <w:trPr>
          <w:cantSplit/>
          <w:trHeight w:val="20"/>
        </w:trPr>
        <w:tc>
          <w:tcPr>
            <w:tcW w:w="12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Изменения к предыдущему году (%)</w:t>
            </w:r>
          </w:p>
        </w:tc>
        <w:tc>
          <w:tcPr>
            <w:tcW w:w="7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111,7</w:t>
            </w:r>
          </w:p>
        </w:tc>
        <w:tc>
          <w:tcPr>
            <w:tcW w:w="8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112,1</w:t>
            </w:r>
          </w:p>
        </w:tc>
        <w:tc>
          <w:tcPr>
            <w:tcW w:w="8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82,3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99,7</w:t>
            </w:r>
          </w:p>
        </w:tc>
        <w:tc>
          <w:tcPr>
            <w:tcW w:w="7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103,4</w:t>
            </w:r>
          </w:p>
        </w:tc>
      </w:tr>
      <w:tr w:rsidR="0026614D" w:rsidRPr="0079007C" w:rsidTr="00827066">
        <w:trPr>
          <w:cantSplit/>
          <w:trHeight w:val="20"/>
        </w:trPr>
        <w:tc>
          <w:tcPr>
            <w:tcW w:w="12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US"/>
              </w:rPr>
              <w:t>в том числе:</w:t>
            </w:r>
          </w:p>
        </w:tc>
        <w:tc>
          <w:tcPr>
            <w:tcW w:w="7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26614D" w:rsidRPr="0079007C" w:rsidTr="00827066">
        <w:trPr>
          <w:cantSplit/>
          <w:trHeight w:val="20"/>
        </w:trPr>
        <w:tc>
          <w:tcPr>
            <w:tcW w:w="12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За счет собственных налоговых и неналоговых доходов и источников финансирования дефицита </w:t>
            </w:r>
          </w:p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(тыс. рублей)</w:t>
            </w:r>
          </w:p>
        </w:tc>
        <w:tc>
          <w:tcPr>
            <w:tcW w:w="7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5 213 709,5</w:t>
            </w:r>
          </w:p>
        </w:tc>
        <w:tc>
          <w:tcPr>
            <w:tcW w:w="8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5 282 082,9</w:t>
            </w:r>
          </w:p>
        </w:tc>
        <w:tc>
          <w:tcPr>
            <w:tcW w:w="8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5 213 261,7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5 236 594,8</w:t>
            </w:r>
          </w:p>
        </w:tc>
        <w:tc>
          <w:tcPr>
            <w:tcW w:w="7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5 462 548,6</w:t>
            </w:r>
          </w:p>
        </w:tc>
      </w:tr>
      <w:tr w:rsidR="0026614D" w:rsidRPr="0079007C" w:rsidTr="00827066">
        <w:trPr>
          <w:cantSplit/>
          <w:trHeight w:val="20"/>
        </w:trPr>
        <w:tc>
          <w:tcPr>
            <w:tcW w:w="12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Изменения к предыдущему году  (тыс. рублей)</w:t>
            </w:r>
          </w:p>
        </w:tc>
        <w:tc>
          <w:tcPr>
            <w:tcW w:w="7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-33 743,9</w:t>
            </w:r>
          </w:p>
        </w:tc>
        <w:tc>
          <w:tcPr>
            <w:tcW w:w="8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68 373,4</w:t>
            </w:r>
          </w:p>
        </w:tc>
        <w:tc>
          <w:tcPr>
            <w:tcW w:w="8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-68 821,2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23 333,1</w:t>
            </w:r>
          </w:p>
        </w:tc>
        <w:tc>
          <w:tcPr>
            <w:tcW w:w="7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225 953,8</w:t>
            </w:r>
          </w:p>
        </w:tc>
      </w:tr>
      <w:tr w:rsidR="0026614D" w:rsidRPr="0079007C" w:rsidTr="00827066">
        <w:trPr>
          <w:cantSplit/>
          <w:trHeight w:val="20"/>
        </w:trPr>
        <w:tc>
          <w:tcPr>
            <w:tcW w:w="12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Изменения к предыдущему году (%)</w:t>
            </w:r>
          </w:p>
        </w:tc>
        <w:tc>
          <w:tcPr>
            <w:tcW w:w="7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99,4</w:t>
            </w:r>
          </w:p>
        </w:tc>
        <w:tc>
          <w:tcPr>
            <w:tcW w:w="8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101,3</w:t>
            </w:r>
          </w:p>
        </w:tc>
        <w:tc>
          <w:tcPr>
            <w:tcW w:w="8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98,7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100,4</w:t>
            </w:r>
          </w:p>
        </w:tc>
        <w:tc>
          <w:tcPr>
            <w:tcW w:w="7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B87" w:rsidRPr="0079007C" w:rsidRDefault="00507B87" w:rsidP="00EE3838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7900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104,3</w:t>
            </w:r>
          </w:p>
        </w:tc>
      </w:tr>
    </w:tbl>
    <w:p w:rsidR="00507B87" w:rsidRPr="0079007C" w:rsidRDefault="00507B87" w:rsidP="00EE3838">
      <w:pPr>
        <w:spacing w:after="0" w:line="228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9007C">
        <w:rPr>
          <w:rFonts w:ascii="Times New Roman" w:hAnsi="Times New Roman" w:cs="Times New Roman"/>
          <w:color w:val="000000"/>
          <w:sz w:val="20"/>
          <w:szCs w:val="20"/>
        </w:rPr>
        <w:t xml:space="preserve">* </w:t>
      </w:r>
      <w:r w:rsidRPr="0079007C">
        <w:rPr>
          <w:rFonts w:ascii="Times New Roman" w:hAnsi="Times New Roman" w:cs="Times New Roman"/>
          <w:color w:val="000000"/>
          <w:sz w:val="24"/>
          <w:szCs w:val="24"/>
        </w:rPr>
        <w:t>Показатели сводной бюджетной росписи по состоянию на 01.10.2019 г.</w:t>
      </w:r>
    </w:p>
    <w:p w:rsidR="00507B87" w:rsidRPr="0079007C" w:rsidRDefault="00507B87" w:rsidP="00EE3838">
      <w:pPr>
        <w:spacing w:after="0" w:line="228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507B87" w:rsidRPr="0079007C" w:rsidRDefault="00507B87" w:rsidP="00EE3838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В 2020 году планируется снижение объема расходов бюджета по сравнению с 2019 годом на 17,7 % в связи с уменьшением объема межбюджетных трансфертов из областного бюджета, а также сокращением расходов, производимых за счет собственных доходов. При этом по сравнению                      с первоначальным бюджетом расходы запланированы с ростом на 8,9 %. </w:t>
      </w:r>
    </w:p>
    <w:p w:rsidR="00507B87" w:rsidRPr="0079007C" w:rsidRDefault="00507B87" w:rsidP="00EE3838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2021  году расходы снижаются на 0,3%,</w:t>
      </w:r>
      <w:r w:rsidR="001771F3"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в 2022 году рост расходов составит 3,4 %. Расходы без учета межбюджетных трансфертов определены </w:t>
      </w:r>
      <w:r w:rsidR="001771F3"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со снижением в 2020 году на 1,3 %, в 2021-2022  годах  с ростом на 0,4% и на 4,3 % соответственно. </w:t>
      </w:r>
    </w:p>
    <w:p w:rsidR="00507B87" w:rsidRPr="0079007C" w:rsidRDefault="00507B87" w:rsidP="00EE3838">
      <w:pPr>
        <w:spacing w:after="0" w:line="228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В 2020 году дефицит бюджета планируется в объеме 430,4 млн. рублей </w:t>
      </w:r>
      <w:r w:rsidR="001771F3"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(9% от собственных налоговых и неналоговых доходов), в  2021-2022 годах дефицит составит 10% от собственных налоговых и неналоговых доходов, </w:t>
      </w:r>
      <w:r w:rsidR="001771F3"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>или 476,0 млн.</w:t>
      </w:r>
      <w:r w:rsidR="003F1C86" w:rsidRPr="0079007C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>рублей и 496,0 млн.</w:t>
      </w:r>
      <w:r w:rsidR="003F1C86" w:rsidRPr="0079007C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>рублей соответственно.</w:t>
      </w:r>
    </w:p>
    <w:p w:rsidR="00507B87" w:rsidRPr="0079007C" w:rsidRDefault="00507B87" w:rsidP="00EE383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Основными источниками финансирования дефицита бюджета будут государственные внутренние заимствования в виде кредитов кредитных организаций. </w:t>
      </w:r>
    </w:p>
    <w:p w:rsidR="00507B87" w:rsidRPr="0079007C" w:rsidRDefault="00507B87" w:rsidP="00EE383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Прогнозируемый объем государственного долга на 1 января 2021 года составит 1 961 400 тыс. рублей, на 1 января 2022 года –2 437 400,0 тыс. рублей, </w:t>
      </w:r>
      <w:r w:rsidR="001771F3"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>на 1 января 2023 года –2 933 400,0 тыс. рублей и не превысит ограничения, установленные Бюджетным кодексом.</w:t>
      </w:r>
    </w:p>
    <w:p w:rsidR="00507B87" w:rsidRPr="0079007C" w:rsidRDefault="00507B87" w:rsidP="00EE383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>Таким образом, сформированные в соответствии с параметрами прогноза социально-экономического развития области основные характеристики проекта бюджета обеспечивают первоочередные расходные обязательства, сохраняя устойчивость бюджета по отношению к основным бюджетным рискам.</w:t>
      </w:r>
    </w:p>
    <w:p w:rsidR="008A2949" w:rsidRDefault="008A2949" w:rsidP="00EE38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166EF" w:rsidRPr="0079007C" w:rsidRDefault="001E7FB4" w:rsidP="00EE383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1E7FB4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III</w:t>
      </w:r>
      <w:r w:rsidRPr="001E7FB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6166EF" w:rsidRPr="0079007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Прогноз доходов бюджета города Рязани на 2020 год</w:t>
      </w:r>
    </w:p>
    <w:p w:rsidR="006166EF" w:rsidRPr="0079007C" w:rsidRDefault="006166EF" w:rsidP="00EE383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79007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и на плановый период 2021 и 2022 годов</w:t>
      </w:r>
    </w:p>
    <w:p w:rsidR="006166EF" w:rsidRPr="0079007C" w:rsidRDefault="006166EF" w:rsidP="00EE3838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6166EF" w:rsidRPr="0079007C" w:rsidRDefault="006166EF" w:rsidP="00EE38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Представленный проект бюджета основан на базовом варианте прогноза социально-экономического развития города Рязани на 2020 год и на плановый период 2021 и 2022 годов, основных направлениях бюджетной и налоговой политики города Рязани на 2020 год и на плановый период 2021 и 2022 годов, соответствует требованиям к структуре и содержанию решения о бюджете, установленным статьей 184.1 Бюджетного кодекса РФ.</w:t>
      </w:r>
    </w:p>
    <w:p w:rsidR="006166EF" w:rsidRPr="0079007C" w:rsidRDefault="006166EF" w:rsidP="00EE38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 материалах к проекту бюджета представлен реестр источников доходов бюджета города Рязани, составленный по сведениям органов государственной власти, органов местного самоуправления, иных организаций, осуществляющих бюджетные полномочия главных администраторов доходов.</w:t>
      </w:r>
    </w:p>
    <w:p w:rsidR="006166EF" w:rsidRPr="0079007C" w:rsidRDefault="006166EF" w:rsidP="00EE3838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Бюджет города Рязани по доходам на 2020-2022 годы сформирован </w:t>
      </w:r>
      <w:r w:rsidR="00DC5245"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     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по данным главных администраторов налоговых и неналоговых доходов,  исчисленным в соответствии с утвержденными методиками прогнозирования поступлений в бюджет по администрируемым доходным источникам, учитывающими применительно к каждому из них влияние количественных, стоимостных, макроэкономических факторов.</w:t>
      </w:r>
    </w:p>
    <w:p w:rsidR="006166EF" w:rsidRPr="0079007C" w:rsidRDefault="006166EF" w:rsidP="00EE3838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При этом в качестве показателей, характеризующих макроэкономические изменения, использовались коэффициенты-дефляторы, предусмотренные </w:t>
      </w:r>
      <w:r w:rsidR="00DC5245"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      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 «базовом» варианте прогноза социально-экономического развития Российской Федерации на 2020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год и на плановый период 2021 и 2022 годов; индексация заработной платы в бюджетной сфере на прогнозируемый уровень инфляции:</w:t>
      </w:r>
      <w:r w:rsidR="00DC5245"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  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 октября 2020 года - на 3,0%, с октября 2021 года – на 4,0%, с октября 2022 года – на 4,0%; предполагаемые темпы роста фонда оплаты труда в коммерческом 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 xml:space="preserve">секторе экономики, рекомендованные министерством промышленности </w:t>
      </w:r>
      <w:r w:rsidR="0015600D"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             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 экономического развития Рязанской области на 2020-2022 годы.</w:t>
      </w:r>
    </w:p>
    <w:p w:rsidR="006166EF" w:rsidRPr="0079007C" w:rsidRDefault="006166EF" w:rsidP="00EE3838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Учтены федеральные, региональные законы и законопроекты, нормативно-правовые акты Правительства Российской Федерации, направленные </w:t>
      </w:r>
      <w:r w:rsidR="00DC5245"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               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на регулирование бюджетных правоотношений: </w:t>
      </w:r>
    </w:p>
    <w:p w:rsidR="006166EF" w:rsidRPr="0079007C" w:rsidRDefault="006166EF" w:rsidP="00EE3838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 переход на прямые выплаты пособий гражданам по временной нетрудоспособности и централизованный порядок уплаты налога</w:t>
      </w:r>
      <w:r w:rsidR="00DC5245"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на доходы физических лиц Рязанским региональным отделением Фонда социального страхования РФ с 01.07.2019 в соответствии с графиком поэтапного введения соответствующего порядка в регионах РФ, утвержденным постановлением Правительства РФ от 21.04.2011 № 294;</w:t>
      </w:r>
    </w:p>
    <w:p w:rsidR="006166EF" w:rsidRPr="0079007C" w:rsidRDefault="006166EF" w:rsidP="00EE3838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 индексация ставок акцизов на автомобильный бензин и дизельное топливо в очередном финансовом году и плановом периоде до размера, установленного Федеральным законом от 29.09.2019 № 326-ФЗ;</w:t>
      </w:r>
    </w:p>
    <w:p w:rsidR="006166EF" w:rsidRPr="0079007C" w:rsidRDefault="006166EF" w:rsidP="00EE3838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- уменьшение норматива распределения доходов от акцизов </w:t>
      </w:r>
      <w:r w:rsidR="00DC5245"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                  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на нефтепродукты в бюджет Рязанской области в целях формирования дорожного фонда субъекта в 2020 году относительно 2019 года на 0,0208 пункта (с 0,8429% до 0,8221%). Установление соответствующего норматива на 2021-2022 годы</w:t>
      </w:r>
      <w:r w:rsidR="00DC5245"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      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в размере 0,8290%;</w:t>
      </w:r>
    </w:p>
    <w:p w:rsidR="006166EF" w:rsidRPr="0079007C" w:rsidRDefault="006166EF" w:rsidP="00EE3838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 снижение дифференцированного норматива отчислений в бюджет города Рязани от акцизов на нефтепродукты с 0,9588% в 2019 году до 0,9414%</w:t>
      </w:r>
      <w:r w:rsidR="00DC5245"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           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в 2020-2022 годах в связи с уменьшением расчетной протяженности автомобильных дорог, находящихся в собственности муниципального образования – город Рязань на 1,2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км (с 667,45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км в 2019 году до 666,25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км</w:t>
      </w:r>
      <w:r w:rsidR="00DC5245"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   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в 2020-2022 годах);</w:t>
      </w:r>
    </w:p>
    <w:p w:rsidR="006166EF" w:rsidRPr="0079007C" w:rsidRDefault="006166EF" w:rsidP="00EE3838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- прекращение с 01.01.2020 права на получение налогового вычета </w:t>
      </w:r>
      <w:r w:rsidR="00092087"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    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по приобретению контрольно-кассовой техники индивидуальными предпринимателями, состоящими на специальных режимах налогообложения </w:t>
      </w:r>
      <w:r w:rsidR="00092087"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    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 виде единого налога на вмененный доход</w:t>
      </w:r>
      <w:r w:rsidR="00092087"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 патентной системы налогообложения;</w:t>
      </w:r>
    </w:p>
    <w:p w:rsidR="006166EF" w:rsidRPr="0079007C" w:rsidRDefault="006166EF" w:rsidP="00EE3838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 установление с 1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января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2020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года значения коэффициента-дефлятора, используемого в рамках системы налогообложения в виде единого налога </w:t>
      </w:r>
      <w:r w:rsidR="00B71963"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    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на вмененный доход, в размере – 2,009 (с ростом на 4,91%</w:t>
      </w:r>
      <w:r w:rsidR="00E54C25"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 действующему значению);</w:t>
      </w:r>
    </w:p>
    <w:p w:rsidR="006166EF" w:rsidRPr="0079007C" w:rsidRDefault="006166EF" w:rsidP="00EE3838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- установление с 1 января 2020 года значения коэффициента-дефлятора, используемого в целях применения патентной системы налогообложения, </w:t>
      </w:r>
      <w:r w:rsidR="00E54C25"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           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 размере – 1,592 (с ростом на 4,87% к действующему значению);</w:t>
      </w:r>
    </w:p>
    <w:p w:rsidR="006166EF" w:rsidRPr="0079007C" w:rsidRDefault="006166EF" w:rsidP="00EE3838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 установление с 1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января 2020 года значения коэффициента-дефлятора, необходимого в целях обложения налогом на доходы физических лиц иностранных граждан, работающих на основании патентов, в размере – </w:t>
      </w:r>
      <w:r w:rsidR="00690E83"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 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1,813</w:t>
      </w:r>
      <w:r w:rsidR="00E54C25"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690E83"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(с ростом на 4,86% к действующему значению);</w:t>
      </w:r>
    </w:p>
    <w:p w:rsidR="006166EF" w:rsidRPr="0079007C" w:rsidRDefault="006166EF" w:rsidP="00EE3838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- установление коэффициента, отражающего региональные особенности рынка труда Рязанской области, используемого для определения фиксированных авансовых платежей по налогу на доходы физических лиц иностранных граждан, осуществляющих трудовую деятельность по найму в организациях и (или) </w:t>
      </w:r>
      <w:r w:rsidR="00E54C25"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   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 xml:space="preserve">у индивидуальных предпринимателей, на 2020 год в размере 2,16 (с ростом </w:t>
      </w:r>
      <w:r w:rsidR="00E54C25"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   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на 3,85%);</w:t>
      </w:r>
    </w:p>
    <w:p w:rsidR="006166EF" w:rsidRPr="0079007C" w:rsidRDefault="006166EF" w:rsidP="00EE3838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 дополнительные поступления земельного налога по итогам налогового периода 2019 года по сроку 05.02.2020, обусловленные отменой льгот</w:t>
      </w:r>
      <w:r w:rsidR="00643D0C"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 01.01.2019 </w:t>
      </w:r>
      <w:r w:rsidR="00643D0C"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года 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органам власти, содержание которых осуществляется за счет средств бюджета города Рязани (бюджета Рязанской области), казенным, бюджетным </w:t>
      </w:r>
      <w:r w:rsidR="00B71963"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    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 автономным учреждениям, созданным органами государственной власти Рязанской области и (или) органами местного самоуправления;</w:t>
      </w:r>
    </w:p>
    <w:p w:rsidR="006166EF" w:rsidRPr="0079007C" w:rsidRDefault="006166EF" w:rsidP="00EE3838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 ограничение ежегодного роста земельного налога                                         для налогоплательщиков - физических лиц не более чем на 10 процентов относительно предыдущего налогового периода;</w:t>
      </w:r>
    </w:p>
    <w:p w:rsidR="006166EF" w:rsidRPr="0079007C" w:rsidRDefault="006166EF" w:rsidP="00EE3838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- ограничение ежегодного роста налога на имущество физических лиц  </w:t>
      </w:r>
      <w:r w:rsidR="00B71963"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не более чем на 10 процентов относительно предыдущего налогового периода;</w:t>
      </w:r>
    </w:p>
    <w:p w:rsidR="006166EF" w:rsidRPr="0079007C" w:rsidRDefault="006166EF" w:rsidP="00EE3838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 вовлечение в налогообложение предпринимателей по объектам, впервые включенным в перечень объектов недвижимого имущества, в отношении которого налоговая база определяется как кадастровая стоимость;</w:t>
      </w:r>
    </w:p>
    <w:p w:rsidR="006166EF" w:rsidRPr="0079007C" w:rsidRDefault="006166EF" w:rsidP="00EE3838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- увеличение с 55% до 60% норматива отчислений по платежам </w:t>
      </w:r>
      <w:r w:rsidR="00B71963"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              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при пользовании природными ресурсами (негативное воздействие </w:t>
      </w:r>
      <w:r w:rsidR="00B71963"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                 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на окружающую среду);</w:t>
      </w:r>
    </w:p>
    <w:p w:rsidR="006166EF" w:rsidRPr="0079007C" w:rsidRDefault="006166EF" w:rsidP="00EE383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 изменение порядка администрирования и зачисления штрафов                           с 01.01.2020 в соответствии с Федеральным законом от 15.04.2019</w:t>
      </w:r>
      <w:r w:rsidR="00B71963"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№ 62-ФЗ.</w:t>
      </w:r>
    </w:p>
    <w:p w:rsidR="006166EF" w:rsidRPr="0079007C" w:rsidRDefault="006166EF" w:rsidP="00EE383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При подготовке приложений к проекту бюджета применялась бюджетная классификация, утвержденная приказом Министерства финансов Российской Федерации от 06.06.2019 № 85н.</w:t>
      </w:r>
    </w:p>
    <w:p w:rsidR="006166EF" w:rsidRPr="0079007C" w:rsidRDefault="006166EF" w:rsidP="00EE3838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Налоговые и неналоговые доходы бюджета города на 2020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год прогнозируются в объеме 4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782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861,7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тыс.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рублей или с ростом по сравнению  </w:t>
      </w:r>
      <w:r w:rsidR="00B71963"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    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 ожидаемой оценкой исполнения 2019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года на 22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304,0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тыс.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рублей (0,5%).                                                                              </w:t>
      </w:r>
    </w:p>
    <w:p w:rsidR="006166EF" w:rsidRPr="0079007C" w:rsidRDefault="006166EF" w:rsidP="00EE3838">
      <w:pPr>
        <w:tabs>
          <w:tab w:val="left" w:pos="567"/>
          <w:tab w:val="left" w:pos="709"/>
          <w:tab w:val="left" w:pos="851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Превалирующее значение в структуре бюджета принадлежит налоговым доходам. Их удельный вес в очередном финансовом году вырастет               </w:t>
      </w:r>
      <w:r w:rsidR="00B71963"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        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на 4,2 пункта (с 83,0% в 2019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году до 87,2% в 2020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году) и составит       </w:t>
      </w:r>
      <w:r w:rsidR="00B71963"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    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    в абсолютной сумме 4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171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523,5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тыс.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рублей. Неналоговые доходы определены</w:t>
      </w:r>
      <w:r w:rsidR="00D04CF2"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    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в сумме 611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338,2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тыс.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рублей (12,8% доходов бюджета).</w:t>
      </w:r>
    </w:p>
    <w:p w:rsidR="006166EF" w:rsidRPr="0079007C" w:rsidRDefault="006166EF" w:rsidP="00EE3838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Налоговые и неналоговые доходы бюджета города на 2021 год прогнозируются в объеме 4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760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594,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тыс.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рублей или со снижением относительно предыдущего года на 22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266,9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тыс.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рублей (0,5%). Налоговые доходы составят 4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211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064,5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тыс.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рублей или 88,5% в структуре бюджета, неналоговые доходы – 549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530,3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тыс.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рублей (11,5% доходов бюджета). </w:t>
      </w:r>
    </w:p>
    <w:p w:rsidR="006166EF" w:rsidRPr="0079007C" w:rsidRDefault="006166EF" w:rsidP="00EE3838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Налоговые и неналоговые доходы бюджета на 2022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год прогнозируются</w:t>
      </w:r>
      <w:r w:rsidR="00D04CF2"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     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в объеме 4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966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548,6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тыс.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рублей или с ростом по сравнению с предыдущим годом на 205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953,8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тыс.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рублей (4,3%). Налоговые доходы составят 4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422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565,2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тыс.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рублей (89,0% в структуре бюджета), неналоговые доходы – 543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983,4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тыс.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рублей (11,0% в структуре бюджета). </w:t>
      </w:r>
    </w:p>
    <w:p w:rsidR="00454ACF" w:rsidRPr="0079007C" w:rsidRDefault="00454ACF" w:rsidP="00EE383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</w:p>
    <w:p w:rsidR="00454ACF" w:rsidRPr="0079007C" w:rsidRDefault="00454ACF" w:rsidP="00EE3838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Безвозмездные поступления из вышестоящих бюджетов</w:t>
      </w:r>
    </w:p>
    <w:p w:rsidR="00454ACF" w:rsidRPr="0079007C" w:rsidRDefault="00454ACF" w:rsidP="00EE3838">
      <w:pPr>
        <w:keepNext/>
        <w:numPr>
          <w:ilvl w:val="12"/>
          <w:numId w:val="0"/>
        </w:num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snapToGrid w:val="0"/>
          <w:color w:val="000000"/>
          <w:kern w:val="32"/>
          <w:sz w:val="28"/>
          <w:szCs w:val="28"/>
        </w:rPr>
        <w:lastRenderedPageBreak/>
        <w:t>В бюджете города на 20</w:t>
      </w:r>
      <w:r w:rsidR="005A4907" w:rsidRPr="0079007C">
        <w:rPr>
          <w:rFonts w:ascii="Times New Roman" w:hAnsi="Times New Roman" w:cs="Times New Roman"/>
          <w:snapToGrid w:val="0"/>
          <w:color w:val="000000"/>
          <w:kern w:val="32"/>
          <w:sz w:val="28"/>
          <w:szCs w:val="28"/>
        </w:rPr>
        <w:t>20</w:t>
      </w:r>
      <w:r w:rsidRPr="0079007C">
        <w:rPr>
          <w:rFonts w:ascii="Times New Roman" w:hAnsi="Times New Roman" w:cs="Times New Roman"/>
          <w:b/>
          <w:bCs/>
          <w:snapToGrid w:val="0"/>
          <w:color w:val="000000"/>
          <w:kern w:val="32"/>
          <w:sz w:val="28"/>
          <w:szCs w:val="28"/>
        </w:rPr>
        <w:t xml:space="preserve"> </w:t>
      </w:r>
      <w:r w:rsidRPr="0079007C">
        <w:rPr>
          <w:rFonts w:ascii="Times New Roman" w:hAnsi="Times New Roman" w:cs="Times New Roman"/>
          <w:snapToGrid w:val="0"/>
          <w:color w:val="000000"/>
          <w:kern w:val="32"/>
          <w:sz w:val="28"/>
          <w:szCs w:val="28"/>
        </w:rPr>
        <w:t xml:space="preserve">год безвозмездные поступления предусмотрены </w:t>
      </w:r>
      <w:r w:rsidR="00EE2994" w:rsidRPr="0079007C">
        <w:rPr>
          <w:rFonts w:ascii="Times New Roman" w:hAnsi="Times New Roman" w:cs="Times New Roman"/>
          <w:snapToGrid w:val="0"/>
          <w:color w:val="000000"/>
          <w:kern w:val="32"/>
          <w:sz w:val="28"/>
          <w:szCs w:val="28"/>
        </w:rPr>
        <w:t xml:space="preserve">         </w:t>
      </w:r>
      <w:r w:rsidRPr="0079007C">
        <w:rPr>
          <w:rFonts w:ascii="Times New Roman" w:hAnsi="Times New Roman" w:cs="Times New Roman"/>
          <w:snapToGrid w:val="0"/>
          <w:color w:val="000000"/>
          <w:kern w:val="32"/>
          <w:sz w:val="28"/>
          <w:szCs w:val="28"/>
        </w:rPr>
        <w:t xml:space="preserve">в объеме 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3532EF" w:rsidRPr="0079007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5A4907" w:rsidRPr="0079007C">
        <w:rPr>
          <w:rFonts w:ascii="Times New Roman" w:hAnsi="Times New Roman" w:cs="Times New Roman"/>
          <w:color w:val="000000"/>
          <w:sz w:val="28"/>
          <w:szCs w:val="28"/>
        </w:rPr>
        <w:t>984 135,4</w:t>
      </w:r>
      <w:r w:rsidRPr="0079007C">
        <w:rPr>
          <w:rFonts w:ascii="Times New Roman" w:hAnsi="Times New Roman" w:cs="Times New Roman"/>
          <w:snapToGrid w:val="0"/>
          <w:color w:val="000000"/>
          <w:kern w:val="32"/>
          <w:sz w:val="28"/>
          <w:szCs w:val="28"/>
        </w:rPr>
        <w:t xml:space="preserve"> тыс. рублей, на 20</w:t>
      </w:r>
      <w:r w:rsidR="00C45EA5" w:rsidRPr="0079007C">
        <w:rPr>
          <w:rFonts w:ascii="Times New Roman" w:hAnsi="Times New Roman" w:cs="Times New Roman"/>
          <w:snapToGrid w:val="0"/>
          <w:color w:val="000000"/>
          <w:kern w:val="32"/>
          <w:sz w:val="28"/>
          <w:szCs w:val="28"/>
        </w:rPr>
        <w:t>2</w:t>
      </w:r>
      <w:r w:rsidR="005A4907" w:rsidRPr="0079007C">
        <w:rPr>
          <w:rFonts w:ascii="Times New Roman" w:hAnsi="Times New Roman" w:cs="Times New Roman"/>
          <w:snapToGrid w:val="0"/>
          <w:color w:val="000000"/>
          <w:kern w:val="32"/>
          <w:sz w:val="28"/>
          <w:szCs w:val="28"/>
        </w:rPr>
        <w:t>1</w:t>
      </w:r>
      <w:r w:rsidRPr="0079007C">
        <w:rPr>
          <w:rFonts w:ascii="Times New Roman" w:hAnsi="Times New Roman" w:cs="Times New Roman"/>
          <w:snapToGrid w:val="0"/>
          <w:color w:val="000000"/>
          <w:kern w:val="32"/>
          <w:sz w:val="28"/>
          <w:szCs w:val="28"/>
        </w:rPr>
        <w:t xml:space="preserve"> год 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>– 4</w:t>
      </w:r>
      <w:r w:rsidR="003532EF" w:rsidRPr="0079007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5A4907" w:rsidRPr="0079007C">
        <w:rPr>
          <w:rFonts w:ascii="Times New Roman" w:hAnsi="Times New Roman" w:cs="Times New Roman"/>
          <w:color w:val="000000"/>
          <w:sz w:val="28"/>
          <w:szCs w:val="28"/>
        </w:rPr>
        <w:t>929 647,2</w:t>
      </w:r>
      <w:r w:rsidRPr="0079007C">
        <w:rPr>
          <w:rFonts w:ascii="Times New Roman" w:hAnsi="Times New Roman" w:cs="Times New Roman"/>
          <w:snapToGrid w:val="0"/>
          <w:color w:val="000000"/>
          <w:kern w:val="32"/>
          <w:sz w:val="28"/>
          <w:szCs w:val="28"/>
        </w:rPr>
        <w:t xml:space="preserve"> тыс. рублей, на 202</w:t>
      </w:r>
      <w:r w:rsidR="005A4907" w:rsidRPr="0079007C">
        <w:rPr>
          <w:rFonts w:ascii="Times New Roman" w:hAnsi="Times New Roman" w:cs="Times New Roman"/>
          <w:snapToGrid w:val="0"/>
          <w:color w:val="000000"/>
          <w:kern w:val="32"/>
          <w:sz w:val="28"/>
          <w:szCs w:val="28"/>
        </w:rPr>
        <w:t>2</w:t>
      </w:r>
      <w:r w:rsidRPr="0079007C">
        <w:rPr>
          <w:rFonts w:ascii="Times New Roman" w:hAnsi="Times New Roman" w:cs="Times New Roman"/>
          <w:snapToGrid w:val="0"/>
          <w:color w:val="000000"/>
          <w:kern w:val="32"/>
          <w:sz w:val="28"/>
          <w:szCs w:val="28"/>
        </w:rPr>
        <w:t xml:space="preserve"> год 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5A4907" w:rsidRPr="0079007C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0E74A9"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A4907" w:rsidRPr="0079007C">
        <w:rPr>
          <w:rFonts w:ascii="Times New Roman" w:hAnsi="Times New Roman" w:cs="Times New Roman"/>
          <w:color w:val="000000"/>
          <w:sz w:val="28"/>
          <w:szCs w:val="28"/>
        </w:rPr>
        <w:t>051</w:t>
      </w:r>
      <w:r w:rsidR="006B267D"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A4907" w:rsidRPr="0079007C">
        <w:rPr>
          <w:rFonts w:ascii="Times New Roman" w:hAnsi="Times New Roman" w:cs="Times New Roman"/>
          <w:color w:val="000000"/>
          <w:sz w:val="28"/>
          <w:szCs w:val="28"/>
        </w:rPr>
        <w:t>741,8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  (Приложение № 1).</w:t>
      </w:r>
    </w:p>
    <w:p w:rsidR="00454ACF" w:rsidRPr="0079007C" w:rsidRDefault="00454ACF" w:rsidP="00EE3838">
      <w:pPr>
        <w:keepNext/>
        <w:numPr>
          <w:ilvl w:val="12"/>
          <w:numId w:val="0"/>
        </w:num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74CEC" w:rsidRPr="0079007C" w:rsidRDefault="00D74CEC" w:rsidP="00EE3838">
      <w:pPr>
        <w:keepNext/>
        <w:numPr>
          <w:ilvl w:val="12"/>
          <w:numId w:val="0"/>
        </w:num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IV</w:t>
      </w:r>
      <w:r w:rsidRPr="0079007C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Расходы бюджета города на 20</w:t>
      </w:r>
      <w:r w:rsidR="006B267D" w:rsidRPr="0079007C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</w:t>
      </w:r>
      <w:r w:rsidRPr="0079007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 </w:t>
      </w:r>
    </w:p>
    <w:p w:rsidR="00D74CEC" w:rsidRPr="0079007C" w:rsidRDefault="00D74CEC" w:rsidP="00EE3838">
      <w:pPr>
        <w:keepNext/>
        <w:numPr>
          <w:ilvl w:val="12"/>
          <w:numId w:val="0"/>
        </w:num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 на плановый период 202</w:t>
      </w:r>
      <w:r w:rsidR="006B267D" w:rsidRPr="0079007C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Pr="0079007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 202</w:t>
      </w:r>
      <w:r w:rsidR="006B267D" w:rsidRPr="0079007C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Pr="0079007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годов</w:t>
      </w:r>
    </w:p>
    <w:p w:rsidR="00D74CEC" w:rsidRPr="0079007C" w:rsidRDefault="00D74CEC" w:rsidP="00EE3838">
      <w:pPr>
        <w:keepNext/>
        <w:numPr>
          <w:ilvl w:val="12"/>
          <w:numId w:val="0"/>
        </w:num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06169" w:rsidRPr="0079007C" w:rsidRDefault="00906169" w:rsidP="00EE383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906169" w:rsidRPr="0079007C" w:rsidRDefault="00906169" w:rsidP="004C61CA">
      <w:pPr>
        <w:tabs>
          <w:tab w:val="left" w:pos="708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>Формирование объема и структуры расходов бюджета города осуществлялось исходя из следующих общих подходов:</w:t>
      </w:r>
    </w:p>
    <w:p w:rsidR="00906169" w:rsidRPr="0079007C" w:rsidRDefault="00906169" w:rsidP="004C61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1) определение «базовых» объемов бюджетных ассигнований                        на 2020-2022 годы на уровне бюджетных ассигнований, утвержденных                                  на 2020-2022 годы решением Рязанской городской Думы от 13.12.2018 года         № 98-III «Об утверждении бюджета города Рязани на 2019 год и на плановый период 2020 и 2021 годов»;</w:t>
      </w:r>
    </w:p>
    <w:p w:rsidR="00906169" w:rsidRPr="0079007C" w:rsidRDefault="00906169" w:rsidP="004C61C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2)   уточнение «базовых» объемов на 2020-2022 годы с учетом:</w:t>
      </w:r>
    </w:p>
    <w:p w:rsidR="00906169" w:rsidRPr="0079007C" w:rsidRDefault="00906169" w:rsidP="004C61CA">
      <w:pPr>
        <w:widowControl w:val="0"/>
        <w:tabs>
          <w:tab w:val="left" w:pos="97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>- уменьшения объемов бюджетных ассигнований по расходным обязательствам ограниченного срока действия, а также в связи с уменьшением контингента получателей;</w:t>
      </w:r>
    </w:p>
    <w:p w:rsidR="00906169" w:rsidRPr="0079007C" w:rsidRDefault="00906169" w:rsidP="004C61CA">
      <w:pPr>
        <w:widowControl w:val="0"/>
        <w:tabs>
          <w:tab w:val="left" w:pos="97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>- увеличения бюджетных ассигнований по мероприятиям «длящегося» характера, возникшим в ходе исполнения бюджета города в 2019 году,</w:t>
      </w:r>
      <w:r w:rsidRPr="0079007C">
        <w:rPr>
          <w:color w:val="000000"/>
        </w:rPr>
        <w:t xml:space="preserve"> </w:t>
      </w:r>
      <w:r w:rsidR="004C61CA" w:rsidRPr="0079007C">
        <w:rPr>
          <w:color w:val="000000"/>
        </w:rPr>
        <w:t xml:space="preserve">                                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>на обеспечение функционирования вводимых в эксплуатацию в 2019 году вновь созданных дошкольных и общеобразовательных учреждений;</w:t>
      </w:r>
    </w:p>
    <w:p w:rsidR="00906169" w:rsidRPr="0079007C" w:rsidRDefault="00906169" w:rsidP="004C61CA">
      <w:pPr>
        <w:widowControl w:val="0"/>
        <w:tabs>
          <w:tab w:val="left" w:pos="97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>- сохранения оплаты труда отдельных категорий работников организаций</w:t>
      </w:r>
      <w:r w:rsidR="004C61CA"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в сферах образования, культуры, физкультуры и спорта в соответствии </w:t>
      </w:r>
      <w:r w:rsidR="004C61CA"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с «майскими» указами Президента Российской Федерации на уровне 2019 года; </w:t>
      </w:r>
    </w:p>
    <w:p w:rsidR="00906169" w:rsidRPr="0079007C" w:rsidRDefault="00906169" w:rsidP="004C61CA">
      <w:pPr>
        <w:widowControl w:val="0"/>
        <w:tabs>
          <w:tab w:val="left" w:pos="97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- доведения минимального размера оплаты труда с 1 января 2020 года </w:t>
      </w:r>
      <w:r w:rsidR="000F569F"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>до 12</w:t>
      </w:r>
      <w:r w:rsidR="000F569F"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>130 рублей в месяц;</w:t>
      </w:r>
    </w:p>
    <w:p w:rsidR="00906169" w:rsidRPr="0079007C" w:rsidRDefault="00906169" w:rsidP="004C61CA">
      <w:pPr>
        <w:widowControl w:val="0"/>
        <w:tabs>
          <w:tab w:val="left" w:pos="97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>- индексации на 3,0% с 1 октября 2020 года фонда оплаты труда категорий работников муниципальных учреждений, на которых не распространяется действие «майских» указов Президента Российской Федерации;</w:t>
      </w:r>
    </w:p>
    <w:p w:rsidR="00906169" w:rsidRPr="0079007C" w:rsidRDefault="00906169" w:rsidP="004C61CA">
      <w:pPr>
        <w:widowControl w:val="0"/>
        <w:tabs>
          <w:tab w:val="left" w:pos="97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- индексации расходов на оплату коммунальных услуг; </w:t>
      </w:r>
    </w:p>
    <w:p w:rsidR="00906169" w:rsidRPr="0079007C" w:rsidRDefault="00906169" w:rsidP="004C61CA">
      <w:pPr>
        <w:widowControl w:val="0"/>
        <w:tabs>
          <w:tab w:val="left" w:pos="97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- индексации отдельных расходов (связь, транспортные услуги, питание </w:t>
      </w:r>
      <w:r w:rsidR="004C61CA"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>и приобретение ГСМ) на прогнозируемый уровень инфляции в размере 3,0%;</w:t>
      </w:r>
    </w:p>
    <w:p w:rsidR="00906169" w:rsidRPr="0079007C" w:rsidRDefault="00906169" w:rsidP="004C61CA">
      <w:pPr>
        <w:widowControl w:val="0"/>
        <w:tabs>
          <w:tab w:val="left" w:pos="97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>- увеличения бюджетных ассигнований на обслуживание муниципального долга;</w:t>
      </w:r>
    </w:p>
    <w:p w:rsidR="00906169" w:rsidRPr="0079007C" w:rsidRDefault="00906169" w:rsidP="004C61CA">
      <w:pPr>
        <w:widowControl w:val="0"/>
        <w:tabs>
          <w:tab w:val="left" w:pos="97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>- определения объема прочих бюджетных ассигнований в рамках муниципальных программ исходя из реальных возможностей бюджета города</w:t>
      </w:r>
      <w:r w:rsidR="004C61CA"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по их финансовому обеспечению.</w:t>
      </w:r>
    </w:p>
    <w:p w:rsidR="00906169" w:rsidRPr="0079007C" w:rsidRDefault="00906169" w:rsidP="004C61CA">
      <w:pPr>
        <w:pStyle w:val="a3"/>
        <w:widowControl w:val="0"/>
        <w:tabs>
          <w:tab w:val="left" w:pos="972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54ACF" w:rsidRPr="0079007C" w:rsidRDefault="00454ACF" w:rsidP="00DC5D3D">
      <w:pPr>
        <w:spacing w:before="120" w:after="12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79007C"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  <w:t>V. Источники внутреннего финансирования дефицита бюджета города</w:t>
      </w:r>
    </w:p>
    <w:p w:rsidR="00454ACF" w:rsidRPr="0079007C" w:rsidRDefault="00454ACF" w:rsidP="00DC5D3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A542C5" w:rsidRPr="0079007C" w:rsidRDefault="00A542C5" w:rsidP="00DC5D3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007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Источники внутреннего финансирования дефицита бюджета города составят в 2020 году – 430 400,0 тыс. рублей, в 2021 году – 476 000,0 тыс. рублей, в 2022 году – 496 000,0 тыс. рублей.</w:t>
      </w:r>
    </w:p>
    <w:p w:rsidR="00532106" w:rsidRPr="0079007C" w:rsidRDefault="00454ACF" w:rsidP="00DC5D3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Объем привлечения кредитных ресурсов в российских кредитных организациях в 20</w:t>
      </w:r>
      <w:r w:rsidR="009454E3" w:rsidRPr="0079007C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году составит </w:t>
      </w:r>
      <w:r w:rsidR="002017D7" w:rsidRPr="0079007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025986" w:rsidRPr="0079007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F72303" w:rsidRPr="0079007C">
        <w:rPr>
          <w:rFonts w:ascii="Times New Roman" w:hAnsi="Times New Roman" w:cs="Times New Roman"/>
          <w:color w:val="000000"/>
          <w:sz w:val="28"/>
          <w:szCs w:val="28"/>
        </w:rPr>
        <w:t>32</w:t>
      </w:r>
      <w:r w:rsidR="002017D7" w:rsidRPr="0079007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025986" w:rsidRPr="0079007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017D7" w:rsidRPr="0079007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025986" w:rsidRPr="0079007C">
        <w:rPr>
          <w:rFonts w:ascii="Times New Roman" w:hAnsi="Times New Roman" w:cs="Times New Roman"/>
          <w:color w:val="000000"/>
          <w:sz w:val="28"/>
          <w:szCs w:val="28"/>
        </w:rPr>
        <w:t>00,0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</w:t>
      </w:r>
      <w:r w:rsidR="00532106" w:rsidRPr="0079007C">
        <w:rPr>
          <w:rFonts w:ascii="Times New Roman" w:hAnsi="Times New Roman" w:cs="Times New Roman"/>
          <w:color w:val="000000"/>
          <w:sz w:val="28"/>
          <w:szCs w:val="28"/>
        </w:rPr>
        <w:t>, в том числе:</w:t>
      </w:r>
    </w:p>
    <w:p w:rsidR="00532106" w:rsidRPr="0079007C" w:rsidRDefault="00532106" w:rsidP="00DC5D3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-  невозобновляемая кредитная линия </w:t>
      </w:r>
      <w:r w:rsidR="008D4B9D"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сроком на 3 года 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>на сумму 800 000,0</w:t>
      </w:r>
      <w:r w:rsidR="0056298C"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4B9D" w:rsidRPr="0079007C">
        <w:rPr>
          <w:rFonts w:ascii="Times New Roman" w:hAnsi="Times New Roman" w:cs="Times New Roman"/>
          <w:color w:val="000000"/>
          <w:sz w:val="28"/>
          <w:szCs w:val="28"/>
        </w:rPr>
        <w:t>тыс. рублей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32106" w:rsidRPr="0079007C" w:rsidRDefault="00532106" w:rsidP="00DC5D3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8D4B9D" w:rsidRPr="0079007C">
        <w:rPr>
          <w:rFonts w:ascii="Times New Roman" w:hAnsi="Times New Roman" w:cs="Times New Roman"/>
          <w:color w:val="000000"/>
          <w:sz w:val="28"/>
          <w:szCs w:val="28"/>
        </w:rPr>
        <w:t>возобновляемая кредитная линия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 на общую сумму 400</w:t>
      </w:r>
      <w:r w:rsidR="00467A1C"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000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>,0 тыс. рублей;</w:t>
      </w:r>
    </w:p>
    <w:p w:rsidR="00532106" w:rsidRPr="0079007C" w:rsidRDefault="00532106" w:rsidP="00DC5D3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>- невозобновляемые кредит</w:t>
      </w:r>
      <w:r w:rsidR="00467A1C"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ные линии сроком на один год на 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>общую сумму 1</w:t>
      </w:r>
      <w:r w:rsidR="00467A1C" w:rsidRPr="0079007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>122</w:t>
      </w:r>
      <w:r w:rsidR="00467A1C" w:rsidRPr="0079007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467A1C" w:rsidRPr="0079007C">
        <w:rPr>
          <w:rFonts w:ascii="Times New Roman" w:hAnsi="Times New Roman" w:cs="Times New Roman"/>
          <w:color w:val="000000"/>
          <w:sz w:val="28"/>
          <w:szCs w:val="28"/>
        </w:rPr>
        <w:t>00,0 тыс. рублей.</w:t>
      </w:r>
    </w:p>
    <w:p w:rsidR="00F72303" w:rsidRPr="0079007C" w:rsidRDefault="00454ACF" w:rsidP="00DC5D3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>Объем бюджетных ассигнований, направляемых на погашение кредитов кредитных организаций</w:t>
      </w:r>
      <w:r w:rsidR="00532106"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>в валюте Российской Федерации в 20</w:t>
      </w:r>
      <w:r w:rsidR="009454E3" w:rsidRPr="0079007C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году составит</w:t>
      </w:r>
      <w:r w:rsidR="00134776"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72303" w:rsidRPr="0079007C">
        <w:rPr>
          <w:rFonts w:ascii="Times New Roman" w:hAnsi="Times New Roman" w:cs="Times New Roman"/>
          <w:color w:val="000000"/>
          <w:sz w:val="28"/>
          <w:szCs w:val="28"/>
        </w:rPr>
        <w:t>1 849</w:t>
      </w:r>
      <w:r w:rsidR="00025986" w:rsidRPr="0079007C">
        <w:rPr>
          <w:rFonts w:ascii="Times New Roman" w:hAnsi="Times New Roman" w:cs="Times New Roman"/>
          <w:color w:val="000000"/>
          <w:sz w:val="28"/>
          <w:szCs w:val="28"/>
        </w:rPr>
        <w:t> 000,0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 Разница между кредитами, привлеченными в российских кредитных организациях и суммой их погашения, в 20</w:t>
      </w:r>
      <w:r w:rsidR="009454E3" w:rsidRPr="0079007C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году составит (+) </w:t>
      </w:r>
      <w:r w:rsidR="009454E3" w:rsidRPr="0079007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F72303" w:rsidRPr="0079007C">
        <w:rPr>
          <w:rFonts w:ascii="Times New Roman" w:hAnsi="Times New Roman" w:cs="Times New Roman"/>
          <w:color w:val="000000"/>
          <w:sz w:val="28"/>
          <w:szCs w:val="28"/>
        </w:rPr>
        <w:t>73</w:t>
      </w:r>
      <w:r w:rsidR="00025986" w:rsidRPr="0079007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454E3" w:rsidRPr="0079007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025986" w:rsidRPr="0079007C">
        <w:rPr>
          <w:rFonts w:ascii="Times New Roman" w:hAnsi="Times New Roman" w:cs="Times New Roman"/>
          <w:color w:val="000000"/>
          <w:sz w:val="28"/>
          <w:szCs w:val="28"/>
        </w:rPr>
        <w:t>00,0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454ACF" w:rsidRPr="0079007C" w:rsidRDefault="00454ACF" w:rsidP="00DC5D3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>Объем привлечения кредитных ресурсов в российских кредитных организациях в 20</w:t>
      </w:r>
      <w:r w:rsidR="00025986" w:rsidRPr="0079007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77E54" w:rsidRPr="0079007C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году составит </w:t>
      </w:r>
      <w:r w:rsidR="00F72303" w:rsidRPr="0079007C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D37F4B"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72303" w:rsidRPr="0079007C">
        <w:rPr>
          <w:rFonts w:ascii="Times New Roman" w:hAnsi="Times New Roman" w:cs="Times New Roman"/>
          <w:color w:val="000000"/>
          <w:sz w:val="28"/>
          <w:szCs w:val="28"/>
        </w:rPr>
        <w:t>637</w:t>
      </w:r>
      <w:r w:rsidR="00025986" w:rsidRPr="0079007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F77E54" w:rsidRPr="0079007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025986" w:rsidRPr="0079007C">
        <w:rPr>
          <w:rFonts w:ascii="Times New Roman" w:hAnsi="Times New Roman" w:cs="Times New Roman"/>
          <w:color w:val="000000"/>
          <w:sz w:val="28"/>
          <w:szCs w:val="28"/>
        </w:rPr>
        <w:t>00,0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в 202</w:t>
      </w:r>
      <w:r w:rsidR="00F77E54" w:rsidRPr="0079007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году – </w:t>
      </w:r>
      <w:r w:rsidR="00F72303" w:rsidRPr="0079007C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F77E54" w:rsidRPr="0079007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F72303" w:rsidRPr="0079007C">
        <w:rPr>
          <w:rFonts w:ascii="Times New Roman" w:hAnsi="Times New Roman" w:cs="Times New Roman"/>
          <w:color w:val="000000"/>
          <w:sz w:val="28"/>
          <w:szCs w:val="28"/>
        </w:rPr>
        <w:t>333</w:t>
      </w:r>
      <w:r w:rsidR="00025986" w:rsidRPr="0079007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F77E54" w:rsidRPr="0079007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025986" w:rsidRPr="0079007C">
        <w:rPr>
          <w:rFonts w:ascii="Times New Roman" w:hAnsi="Times New Roman" w:cs="Times New Roman"/>
          <w:color w:val="000000"/>
          <w:sz w:val="28"/>
          <w:szCs w:val="28"/>
        </w:rPr>
        <w:t>00,0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 Объем бюджетных ассигнований, направляемых </w:t>
      </w:r>
      <w:r w:rsidR="005A1D40"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>на погашение кредитов кредитных организаций в валюте Российской Федерации, в 20</w:t>
      </w:r>
      <w:r w:rsidR="00025986" w:rsidRPr="0079007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77E54" w:rsidRPr="0079007C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году составит </w:t>
      </w:r>
      <w:r w:rsidR="00025986" w:rsidRPr="0079007C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F77E54" w:rsidRPr="0079007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8374A" w:rsidRPr="0079007C">
        <w:rPr>
          <w:rFonts w:ascii="Times New Roman" w:hAnsi="Times New Roman" w:cs="Times New Roman"/>
          <w:color w:val="000000"/>
          <w:sz w:val="28"/>
          <w:szCs w:val="28"/>
        </w:rPr>
        <w:t>122</w:t>
      </w:r>
      <w:r w:rsidR="00F77E54"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4</w:t>
      </w:r>
      <w:r w:rsidR="00025986" w:rsidRPr="0079007C">
        <w:rPr>
          <w:rFonts w:ascii="Times New Roman" w:hAnsi="Times New Roman" w:cs="Times New Roman"/>
          <w:color w:val="000000"/>
          <w:sz w:val="28"/>
          <w:szCs w:val="28"/>
        </w:rPr>
        <w:t>00,0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в 202</w:t>
      </w:r>
      <w:r w:rsidR="00F77E54" w:rsidRPr="0079007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году – </w:t>
      </w:r>
      <w:r w:rsidR="0028374A" w:rsidRPr="0079007C">
        <w:rPr>
          <w:rFonts w:ascii="Times New Roman" w:hAnsi="Times New Roman" w:cs="Times New Roman"/>
          <w:color w:val="000000"/>
          <w:sz w:val="28"/>
          <w:szCs w:val="28"/>
        </w:rPr>
        <w:t>837</w:t>
      </w:r>
      <w:r w:rsidR="00025986" w:rsidRPr="0079007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F77E54" w:rsidRPr="0079007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025986" w:rsidRPr="0079007C">
        <w:rPr>
          <w:rFonts w:ascii="Times New Roman" w:hAnsi="Times New Roman" w:cs="Times New Roman"/>
          <w:color w:val="000000"/>
          <w:sz w:val="28"/>
          <w:szCs w:val="28"/>
        </w:rPr>
        <w:t>00,0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A1D40"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>тыс. рублей. Разница между кредитами, привлеченными в российских кредитных организациях и суммой их погашения, в 20</w:t>
      </w:r>
      <w:r w:rsidR="00025986" w:rsidRPr="0079007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77E54" w:rsidRPr="0079007C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году составит (+) </w:t>
      </w:r>
      <w:r w:rsidR="0028374A" w:rsidRPr="0079007C">
        <w:rPr>
          <w:rFonts w:ascii="Times New Roman" w:hAnsi="Times New Roman" w:cs="Times New Roman"/>
          <w:color w:val="000000"/>
          <w:sz w:val="28"/>
          <w:szCs w:val="28"/>
        </w:rPr>
        <w:t>515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 000,0 </w:t>
      </w:r>
      <w:r w:rsidR="005A1D40"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>тыс. рублей, в 202</w:t>
      </w:r>
      <w:r w:rsidR="00F77E54" w:rsidRPr="0079007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году – (+) </w:t>
      </w:r>
      <w:r w:rsidR="00F77E54" w:rsidRPr="0079007C">
        <w:rPr>
          <w:rFonts w:ascii="Times New Roman" w:hAnsi="Times New Roman" w:cs="Times New Roman"/>
          <w:color w:val="000000"/>
          <w:sz w:val="28"/>
          <w:szCs w:val="28"/>
        </w:rPr>
        <w:t>496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> 000,0 тыс. рублей.</w:t>
      </w:r>
    </w:p>
    <w:p w:rsidR="00454ACF" w:rsidRPr="0079007C" w:rsidRDefault="00454ACF" w:rsidP="00DC5D3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Объем бюджетных ассигнований, направляемых на погашение бюджетных кредитов, привлеченных из областного бюджета, составит в 20</w:t>
      </w:r>
      <w:r w:rsidR="00AF27B8"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20</w:t>
      </w:r>
      <w:r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году 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B90866"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="00F8476C"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43</w:t>
      </w:r>
      <w:r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F8476C"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0</w:t>
      </w:r>
      <w:r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00,0 тыс. рублей. В 20</w:t>
      </w:r>
      <w:r w:rsidR="009B5CC4"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</w:t>
      </w:r>
      <w:r w:rsidR="00AF27B8"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</w:t>
      </w:r>
      <w:r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и в 202</w:t>
      </w:r>
      <w:r w:rsidR="00AF27B8"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</w:t>
      </w:r>
      <w:r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годах указанные бюджетные ассигнования составят </w:t>
      </w:r>
      <w:r w:rsidR="00F8476C"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39</w:t>
      </w:r>
      <w:r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000,0 тыс. рублей </w:t>
      </w:r>
      <w:r w:rsidR="009B5CC4"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и 0,0 тыс. рублей соответственно</w:t>
      </w:r>
      <w:r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</w:p>
    <w:p w:rsidR="00454ACF" w:rsidRPr="0079007C" w:rsidRDefault="00454ACF" w:rsidP="00DC5D3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Кроме того,  планируется привлечение из 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>федерального бюджета краткосрочных бюджетных  кредитов на пополнение остатков средств на счетах бюджетов городских округов. Объем привлечения  в 20</w:t>
      </w:r>
      <w:r w:rsidR="002F326D" w:rsidRPr="0079007C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году составит </w:t>
      </w:r>
      <w:r w:rsidR="00B90866"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="009B5CC4" w:rsidRPr="0079007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A752D3" w:rsidRPr="0079007C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7A089F" w:rsidRPr="0079007C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B90866"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>000,0 тыс. рублей, в 20</w:t>
      </w:r>
      <w:r w:rsidR="009B5CC4" w:rsidRPr="0079007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F326D" w:rsidRPr="0079007C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году – 4</w:t>
      </w:r>
      <w:r w:rsidR="00A752D3" w:rsidRPr="0079007C">
        <w:rPr>
          <w:rFonts w:ascii="Times New Roman" w:hAnsi="Times New Roman" w:cs="Times New Roman"/>
          <w:color w:val="000000"/>
          <w:sz w:val="28"/>
          <w:szCs w:val="28"/>
        </w:rPr>
        <w:t>08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000,0 тыс. рублей и 20</w:t>
      </w:r>
      <w:r w:rsidR="009B5CC4" w:rsidRPr="0079007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F326D" w:rsidRPr="0079007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году – 4</w:t>
      </w:r>
      <w:r w:rsidR="009B5CC4" w:rsidRPr="0079007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752D3" w:rsidRPr="0079007C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> 000,0</w:t>
      </w:r>
      <w:r w:rsidR="00DC5D3D">
        <w:rPr>
          <w:rFonts w:ascii="Times New Roman" w:hAnsi="Times New Roman" w:cs="Times New Roman"/>
          <w:color w:val="000000"/>
          <w:sz w:val="28"/>
          <w:szCs w:val="28"/>
        </w:rPr>
        <w:t xml:space="preserve"> т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>ыс. рублей.</w:t>
      </w:r>
    </w:p>
    <w:p w:rsidR="00454ACF" w:rsidRPr="0079007C" w:rsidRDefault="00454ACF" w:rsidP="00DC5D3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Исходя из планируемого размера дефицита бюджета города в 201</w:t>
      </w:r>
      <w:r w:rsidR="00071A68"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9</w:t>
      </w:r>
      <w:r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-202</w:t>
      </w:r>
      <w:r w:rsidR="00071A68"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</w:t>
      </w:r>
      <w:r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годах объем муниципального долга составит на 01.01.20</w:t>
      </w:r>
      <w:r w:rsidR="00071A68"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</w:t>
      </w:r>
      <w:r w:rsidR="00A752D3"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</w:t>
      </w:r>
      <w:r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года – </w:t>
      </w:r>
      <w:r w:rsidR="00071A68"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1 </w:t>
      </w:r>
      <w:r w:rsidR="008D2E9F"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96</w:t>
      </w:r>
      <w:r w:rsidR="00071A68"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1 </w:t>
      </w:r>
      <w:r w:rsidR="008D2E9F"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4</w:t>
      </w:r>
      <w:r w:rsidR="00071A68"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00,0</w:t>
      </w:r>
      <w:r w:rsidR="005A1D40"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тыс. рублей, на 01.01.202</w:t>
      </w:r>
      <w:r w:rsidR="00A752D3"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</w:t>
      </w:r>
      <w:r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года – </w:t>
      </w:r>
      <w:r w:rsidR="008D2E9F"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</w:t>
      </w:r>
      <w:r w:rsidR="003112A2"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 </w:t>
      </w:r>
      <w:r w:rsidR="008D2E9F"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437</w:t>
      </w:r>
      <w:r w:rsidR="003112A2"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 </w:t>
      </w:r>
      <w:r w:rsidR="008D2E9F"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4</w:t>
      </w:r>
      <w:r w:rsidR="003112A2"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00,0</w:t>
      </w:r>
      <w:r w:rsidR="00071A68"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тыс. рублей, на 01.01.202</w:t>
      </w:r>
      <w:r w:rsidR="00A752D3"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3</w:t>
      </w:r>
      <w:r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года – </w:t>
      </w:r>
      <w:r w:rsidR="00B90866"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    </w:t>
      </w:r>
      <w:r w:rsidR="008D2E9F"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</w:t>
      </w:r>
      <w:r w:rsidR="003112A2"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 </w:t>
      </w:r>
      <w:r w:rsidR="008D2E9F"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933</w:t>
      </w:r>
      <w:r w:rsidR="003112A2"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 </w:t>
      </w:r>
      <w:r w:rsidR="008D2E9F"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4</w:t>
      </w:r>
      <w:r w:rsidR="003112A2"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00,0</w:t>
      </w:r>
      <w:r w:rsidRPr="0079007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 тыс. рублей, что не превышает ограничения, установленные статьей                             107 Бюджетного Кодекса Российской Федерации.  </w:t>
      </w:r>
    </w:p>
    <w:p w:rsidR="00454ACF" w:rsidRPr="0079007C" w:rsidRDefault="00454ACF" w:rsidP="00DC5D3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54ACF" w:rsidRPr="0079007C" w:rsidRDefault="00454ACF" w:rsidP="00DC5D3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54ACF" w:rsidRPr="0079007C" w:rsidRDefault="00454ACF" w:rsidP="00DC5D3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>Начальник финансово-казначейского</w:t>
      </w:r>
    </w:p>
    <w:p w:rsidR="00454ACF" w:rsidRPr="009951AA" w:rsidRDefault="00454ACF" w:rsidP="00DC5D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управления                                  </w:t>
      </w:r>
      <w:r w:rsidR="0077451B"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77451B" w:rsidRPr="0079007C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</w:t>
      </w:r>
      <w:r w:rsidRPr="0079007C">
        <w:rPr>
          <w:rFonts w:ascii="Times New Roman" w:hAnsi="Times New Roman" w:cs="Times New Roman"/>
          <w:color w:val="000000"/>
          <w:sz w:val="28"/>
          <w:szCs w:val="28"/>
        </w:rPr>
        <w:t xml:space="preserve">             С.Д.</w:t>
      </w:r>
      <w:r w:rsidRPr="005A3D05">
        <w:rPr>
          <w:rFonts w:ascii="Times New Roman" w:hAnsi="Times New Roman" w:cs="Times New Roman"/>
          <w:sz w:val="28"/>
          <w:szCs w:val="28"/>
        </w:rPr>
        <w:t xml:space="preserve"> Финогенова</w:t>
      </w:r>
    </w:p>
    <w:sectPr w:rsidR="00454ACF" w:rsidRPr="009951AA" w:rsidSect="00DC5D3D">
      <w:footerReference w:type="default" r:id="rId9"/>
      <w:pgSz w:w="11906" w:h="16838" w:code="9"/>
      <w:pgMar w:top="992" w:right="567" w:bottom="992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13A" w:rsidRDefault="003D013A" w:rsidP="00BF7A73">
      <w:pPr>
        <w:spacing w:after="0" w:line="240" w:lineRule="auto"/>
      </w:pPr>
      <w:r>
        <w:separator/>
      </w:r>
    </w:p>
  </w:endnote>
  <w:endnote w:type="continuationSeparator" w:id="0">
    <w:p w:rsidR="003D013A" w:rsidRDefault="003D013A" w:rsidP="00BF7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D05" w:rsidRPr="005A3C47" w:rsidRDefault="006E2D05">
    <w:pPr>
      <w:pStyle w:val="aa"/>
      <w:jc w:val="right"/>
      <w:rPr>
        <w:rFonts w:ascii="Times New Roman" w:hAnsi="Times New Roman" w:cs="Times New Roman"/>
        <w:sz w:val="24"/>
        <w:szCs w:val="24"/>
      </w:rPr>
    </w:pPr>
    <w:r w:rsidRPr="005A3C47">
      <w:rPr>
        <w:rFonts w:ascii="Times New Roman" w:hAnsi="Times New Roman" w:cs="Times New Roman"/>
        <w:sz w:val="24"/>
        <w:szCs w:val="24"/>
      </w:rPr>
      <w:fldChar w:fldCharType="begin"/>
    </w:r>
    <w:r w:rsidRPr="005A3C47">
      <w:rPr>
        <w:rFonts w:ascii="Times New Roman" w:hAnsi="Times New Roman" w:cs="Times New Roman"/>
        <w:sz w:val="24"/>
        <w:szCs w:val="24"/>
      </w:rPr>
      <w:instrText>PAGE   \* MERGEFORMAT</w:instrText>
    </w:r>
    <w:r w:rsidRPr="005A3C47">
      <w:rPr>
        <w:rFonts w:ascii="Times New Roman" w:hAnsi="Times New Roman" w:cs="Times New Roman"/>
        <w:sz w:val="24"/>
        <w:szCs w:val="24"/>
      </w:rPr>
      <w:fldChar w:fldCharType="separate"/>
    </w:r>
    <w:r w:rsidR="008A2949">
      <w:rPr>
        <w:rFonts w:ascii="Times New Roman" w:hAnsi="Times New Roman" w:cs="Times New Roman"/>
        <w:noProof/>
        <w:sz w:val="24"/>
        <w:szCs w:val="24"/>
      </w:rPr>
      <w:t>8</w:t>
    </w:r>
    <w:r w:rsidRPr="005A3C47">
      <w:rPr>
        <w:rFonts w:ascii="Times New Roman" w:hAnsi="Times New Roman" w:cs="Times New Roman"/>
        <w:sz w:val="24"/>
        <w:szCs w:val="24"/>
      </w:rPr>
      <w:fldChar w:fldCharType="end"/>
    </w:r>
  </w:p>
  <w:p w:rsidR="006E2D05" w:rsidRDefault="006E2D0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13A" w:rsidRDefault="003D013A" w:rsidP="00BF7A73">
      <w:pPr>
        <w:spacing w:after="0" w:line="240" w:lineRule="auto"/>
      </w:pPr>
      <w:r>
        <w:separator/>
      </w:r>
    </w:p>
  </w:footnote>
  <w:footnote w:type="continuationSeparator" w:id="0">
    <w:p w:rsidR="003D013A" w:rsidRDefault="003D013A" w:rsidP="00BF7A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576C"/>
    <w:multiLevelType w:val="hybridMultilevel"/>
    <w:tmpl w:val="08EC833A"/>
    <w:lvl w:ilvl="0" w:tplc="5EB473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9B4709"/>
    <w:multiLevelType w:val="hybridMultilevel"/>
    <w:tmpl w:val="ED906660"/>
    <w:lvl w:ilvl="0" w:tplc="E2F44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4A24A4"/>
    <w:multiLevelType w:val="hybridMultilevel"/>
    <w:tmpl w:val="A008D8F4"/>
    <w:lvl w:ilvl="0" w:tplc="A0F8B70A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3">
    <w:nsid w:val="141E7853"/>
    <w:multiLevelType w:val="hybridMultilevel"/>
    <w:tmpl w:val="9AB24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4F3708F"/>
    <w:multiLevelType w:val="hybridMultilevel"/>
    <w:tmpl w:val="FDA2E6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5">
    <w:nsid w:val="19557DF9"/>
    <w:multiLevelType w:val="hybridMultilevel"/>
    <w:tmpl w:val="B5DC5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CF6453E"/>
    <w:multiLevelType w:val="hybridMultilevel"/>
    <w:tmpl w:val="A96AD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A028FD"/>
    <w:multiLevelType w:val="hybridMultilevel"/>
    <w:tmpl w:val="4620D12E"/>
    <w:lvl w:ilvl="0" w:tplc="A0F8B70A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8">
    <w:nsid w:val="1EEC75CD"/>
    <w:multiLevelType w:val="hybridMultilevel"/>
    <w:tmpl w:val="1898E6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1FEE2A91"/>
    <w:multiLevelType w:val="hybridMultilevel"/>
    <w:tmpl w:val="6E701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242266C1"/>
    <w:multiLevelType w:val="hybridMultilevel"/>
    <w:tmpl w:val="6CC2AD3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1">
    <w:nsid w:val="25630A75"/>
    <w:multiLevelType w:val="hybridMultilevel"/>
    <w:tmpl w:val="B6346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89D4B48"/>
    <w:multiLevelType w:val="hybridMultilevel"/>
    <w:tmpl w:val="FAF6679C"/>
    <w:lvl w:ilvl="0" w:tplc="BB7286F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94574BD"/>
    <w:multiLevelType w:val="hybridMultilevel"/>
    <w:tmpl w:val="3F3A11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>
    <w:nsid w:val="2974100B"/>
    <w:multiLevelType w:val="hybridMultilevel"/>
    <w:tmpl w:val="77848AA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306A1C18"/>
    <w:multiLevelType w:val="hybridMultilevel"/>
    <w:tmpl w:val="1C58C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3F9573D2"/>
    <w:multiLevelType w:val="hybridMultilevel"/>
    <w:tmpl w:val="37DC7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D63F11"/>
    <w:multiLevelType w:val="hybridMultilevel"/>
    <w:tmpl w:val="CA744752"/>
    <w:lvl w:ilvl="0" w:tplc="AF62D75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8">
    <w:nsid w:val="40680C66"/>
    <w:multiLevelType w:val="hybridMultilevel"/>
    <w:tmpl w:val="8520C3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9">
    <w:nsid w:val="4253206F"/>
    <w:multiLevelType w:val="hybridMultilevel"/>
    <w:tmpl w:val="FD846204"/>
    <w:lvl w:ilvl="0" w:tplc="A0F8B70A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0">
    <w:nsid w:val="49C54953"/>
    <w:multiLevelType w:val="hybridMultilevel"/>
    <w:tmpl w:val="43241832"/>
    <w:lvl w:ilvl="0" w:tplc="A0F8B70A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21">
    <w:nsid w:val="4A30497E"/>
    <w:multiLevelType w:val="hybridMultilevel"/>
    <w:tmpl w:val="293C452E"/>
    <w:lvl w:ilvl="0" w:tplc="DCFE91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4F925A2F"/>
    <w:multiLevelType w:val="hybridMultilevel"/>
    <w:tmpl w:val="F94808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3">
    <w:nsid w:val="527B0B48"/>
    <w:multiLevelType w:val="hybridMultilevel"/>
    <w:tmpl w:val="0E507072"/>
    <w:lvl w:ilvl="0" w:tplc="A0F8B70A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4">
    <w:nsid w:val="53FB04B4"/>
    <w:multiLevelType w:val="hybridMultilevel"/>
    <w:tmpl w:val="263C4F6A"/>
    <w:lvl w:ilvl="0" w:tplc="A0F8B70A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25">
    <w:nsid w:val="57051F82"/>
    <w:multiLevelType w:val="hybridMultilevel"/>
    <w:tmpl w:val="CDF609FE"/>
    <w:lvl w:ilvl="0" w:tplc="A0F8B70A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6">
    <w:nsid w:val="5C67202A"/>
    <w:multiLevelType w:val="hybridMultilevel"/>
    <w:tmpl w:val="CBD8C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0590E74"/>
    <w:multiLevelType w:val="hybridMultilevel"/>
    <w:tmpl w:val="A4223B44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cs="Wingdings" w:hint="default"/>
      </w:rPr>
    </w:lvl>
  </w:abstractNum>
  <w:abstractNum w:abstractNumId="28">
    <w:nsid w:val="62E64FE3"/>
    <w:multiLevelType w:val="hybridMultilevel"/>
    <w:tmpl w:val="1C986196"/>
    <w:lvl w:ilvl="0" w:tplc="A0F8B70A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29">
    <w:nsid w:val="62F35BD3"/>
    <w:multiLevelType w:val="hybridMultilevel"/>
    <w:tmpl w:val="F446D010"/>
    <w:lvl w:ilvl="0" w:tplc="85744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67242E1C"/>
    <w:multiLevelType w:val="hybridMultilevel"/>
    <w:tmpl w:val="0AC813A0"/>
    <w:lvl w:ilvl="0" w:tplc="A148C47A">
      <w:start w:val="201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68DE4E6F"/>
    <w:multiLevelType w:val="hybridMultilevel"/>
    <w:tmpl w:val="8EB64FF2"/>
    <w:lvl w:ilvl="0" w:tplc="A0F8B70A">
      <w:start w:val="1"/>
      <w:numFmt w:val="bullet"/>
      <w:lvlText w:val=""/>
      <w:lvlJc w:val="left"/>
      <w:pPr>
        <w:ind w:left="14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60" w:hanging="360"/>
      </w:pPr>
      <w:rPr>
        <w:rFonts w:ascii="Wingdings" w:hAnsi="Wingdings" w:cs="Wingdings" w:hint="default"/>
      </w:rPr>
    </w:lvl>
  </w:abstractNum>
  <w:abstractNum w:abstractNumId="32">
    <w:nsid w:val="698F4FF7"/>
    <w:multiLevelType w:val="hybridMultilevel"/>
    <w:tmpl w:val="CB5C2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B1A1CBD"/>
    <w:multiLevelType w:val="hybridMultilevel"/>
    <w:tmpl w:val="744E3A54"/>
    <w:lvl w:ilvl="0" w:tplc="A0F8B70A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34">
    <w:nsid w:val="6E1D285F"/>
    <w:multiLevelType w:val="hybridMultilevel"/>
    <w:tmpl w:val="7D34C16E"/>
    <w:lvl w:ilvl="0" w:tplc="1568984A">
      <w:start w:val="2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35">
    <w:nsid w:val="6FD92A9A"/>
    <w:multiLevelType w:val="hybridMultilevel"/>
    <w:tmpl w:val="CFA2F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73985076"/>
    <w:multiLevelType w:val="hybridMultilevel"/>
    <w:tmpl w:val="8C727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73C068AE"/>
    <w:multiLevelType w:val="hybridMultilevel"/>
    <w:tmpl w:val="5E683E38"/>
    <w:lvl w:ilvl="0" w:tplc="A0F8B70A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38">
    <w:nsid w:val="74D20034"/>
    <w:multiLevelType w:val="hybridMultilevel"/>
    <w:tmpl w:val="D51C3F6E"/>
    <w:lvl w:ilvl="0" w:tplc="A0F8B70A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39">
    <w:nsid w:val="798B136A"/>
    <w:multiLevelType w:val="hybridMultilevel"/>
    <w:tmpl w:val="00D8C3F4"/>
    <w:lvl w:ilvl="0" w:tplc="A0F8B70A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40">
    <w:nsid w:val="7F8A14F0"/>
    <w:multiLevelType w:val="hybridMultilevel"/>
    <w:tmpl w:val="8A7E906E"/>
    <w:lvl w:ilvl="0" w:tplc="2D9873E4">
      <w:start w:val="1"/>
      <w:numFmt w:val="decimal"/>
      <w:lvlText w:val="%1."/>
      <w:lvlJc w:val="left"/>
      <w:pPr>
        <w:ind w:left="2051" w:hanging="12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FA94E1C"/>
    <w:multiLevelType w:val="hybridMultilevel"/>
    <w:tmpl w:val="AC26C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6"/>
  </w:num>
  <w:num w:numId="2">
    <w:abstractNumId w:val="27"/>
  </w:num>
  <w:num w:numId="3">
    <w:abstractNumId w:val="4"/>
  </w:num>
  <w:num w:numId="4">
    <w:abstractNumId w:val="41"/>
  </w:num>
  <w:num w:numId="5">
    <w:abstractNumId w:val="5"/>
  </w:num>
  <w:num w:numId="6">
    <w:abstractNumId w:val="11"/>
  </w:num>
  <w:num w:numId="7">
    <w:abstractNumId w:val="9"/>
  </w:num>
  <w:num w:numId="8">
    <w:abstractNumId w:val="35"/>
  </w:num>
  <w:num w:numId="9">
    <w:abstractNumId w:val="3"/>
  </w:num>
  <w:num w:numId="10">
    <w:abstractNumId w:val="15"/>
  </w:num>
  <w:num w:numId="11">
    <w:abstractNumId w:val="8"/>
  </w:num>
  <w:num w:numId="12">
    <w:abstractNumId w:val="32"/>
  </w:num>
  <w:num w:numId="13">
    <w:abstractNumId w:val="36"/>
  </w:num>
  <w:num w:numId="14">
    <w:abstractNumId w:val="16"/>
  </w:num>
  <w:num w:numId="15">
    <w:abstractNumId w:val="34"/>
  </w:num>
  <w:num w:numId="16">
    <w:abstractNumId w:val="14"/>
  </w:num>
  <w:num w:numId="17">
    <w:abstractNumId w:val="29"/>
  </w:num>
  <w:num w:numId="18">
    <w:abstractNumId w:val="18"/>
  </w:num>
  <w:num w:numId="19">
    <w:abstractNumId w:val="12"/>
  </w:num>
  <w:num w:numId="20">
    <w:abstractNumId w:val="13"/>
  </w:num>
  <w:num w:numId="21">
    <w:abstractNumId w:val="17"/>
  </w:num>
  <w:num w:numId="22">
    <w:abstractNumId w:val="30"/>
  </w:num>
  <w:num w:numId="23">
    <w:abstractNumId w:val="19"/>
  </w:num>
  <w:num w:numId="24">
    <w:abstractNumId w:val="25"/>
  </w:num>
  <w:num w:numId="25">
    <w:abstractNumId w:val="31"/>
  </w:num>
  <w:num w:numId="26">
    <w:abstractNumId w:val="23"/>
  </w:num>
  <w:num w:numId="27">
    <w:abstractNumId w:val="20"/>
  </w:num>
  <w:num w:numId="28">
    <w:abstractNumId w:val="28"/>
  </w:num>
  <w:num w:numId="29">
    <w:abstractNumId w:val="7"/>
  </w:num>
  <w:num w:numId="30">
    <w:abstractNumId w:val="33"/>
  </w:num>
  <w:num w:numId="31">
    <w:abstractNumId w:val="24"/>
  </w:num>
  <w:num w:numId="32">
    <w:abstractNumId w:val="39"/>
  </w:num>
  <w:num w:numId="33">
    <w:abstractNumId w:val="2"/>
  </w:num>
  <w:num w:numId="34">
    <w:abstractNumId w:val="37"/>
  </w:num>
  <w:num w:numId="35">
    <w:abstractNumId w:val="38"/>
  </w:num>
  <w:num w:numId="36">
    <w:abstractNumId w:val="1"/>
  </w:num>
  <w:num w:numId="37">
    <w:abstractNumId w:val="0"/>
  </w:num>
  <w:num w:numId="38">
    <w:abstractNumId w:val="21"/>
  </w:num>
  <w:num w:numId="39">
    <w:abstractNumId w:val="40"/>
  </w:num>
  <w:num w:numId="40">
    <w:abstractNumId w:val="10"/>
  </w:num>
  <w:num w:numId="41">
    <w:abstractNumId w:val="22"/>
  </w:num>
  <w:num w:numId="42">
    <w:abstractNumId w:val="23"/>
  </w:num>
  <w:num w:numId="43">
    <w:abstractNumId w:val="19"/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NotTrackMove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297D"/>
    <w:rsid w:val="00000453"/>
    <w:rsid w:val="000009AF"/>
    <w:rsid w:val="0000100F"/>
    <w:rsid w:val="000010A0"/>
    <w:rsid w:val="00001654"/>
    <w:rsid w:val="00001E82"/>
    <w:rsid w:val="00002344"/>
    <w:rsid w:val="00002EB6"/>
    <w:rsid w:val="0000302E"/>
    <w:rsid w:val="00004F82"/>
    <w:rsid w:val="00005117"/>
    <w:rsid w:val="000058FD"/>
    <w:rsid w:val="00006E9D"/>
    <w:rsid w:val="00010AD7"/>
    <w:rsid w:val="000110B6"/>
    <w:rsid w:val="00011627"/>
    <w:rsid w:val="00012A60"/>
    <w:rsid w:val="00012B04"/>
    <w:rsid w:val="00012C33"/>
    <w:rsid w:val="00012D54"/>
    <w:rsid w:val="0001303D"/>
    <w:rsid w:val="0001402F"/>
    <w:rsid w:val="0001415F"/>
    <w:rsid w:val="00015147"/>
    <w:rsid w:val="00015345"/>
    <w:rsid w:val="0001687B"/>
    <w:rsid w:val="00016AB5"/>
    <w:rsid w:val="000217AD"/>
    <w:rsid w:val="000222A0"/>
    <w:rsid w:val="00023313"/>
    <w:rsid w:val="00023E13"/>
    <w:rsid w:val="00023E8A"/>
    <w:rsid w:val="00023F32"/>
    <w:rsid w:val="00024119"/>
    <w:rsid w:val="0002460B"/>
    <w:rsid w:val="00024A5E"/>
    <w:rsid w:val="000254D9"/>
    <w:rsid w:val="000256FC"/>
    <w:rsid w:val="00025986"/>
    <w:rsid w:val="00025C93"/>
    <w:rsid w:val="00025D5C"/>
    <w:rsid w:val="000301AE"/>
    <w:rsid w:val="000306AC"/>
    <w:rsid w:val="00030FE0"/>
    <w:rsid w:val="00031291"/>
    <w:rsid w:val="00031576"/>
    <w:rsid w:val="000318C9"/>
    <w:rsid w:val="00032666"/>
    <w:rsid w:val="000329A1"/>
    <w:rsid w:val="00034109"/>
    <w:rsid w:val="00035A5D"/>
    <w:rsid w:val="000360C6"/>
    <w:rsid w:val="000365F5"/>
    <w:rsid w:val="00037158"/>
    <w:rsid w:val="00037524"/>
    <w:rsid w:val="00040497"/>
    <w:rsid w:val="00040653"/>
    <w:rsid w:val="000407F6"/>
    <w:rsid w:val="00040DEB"/>
    <w:rsid w:val="000411A0"/>
    <w:rsid w:val="00042045"/>
    <w:rsid w:val="00042549"/>
    <w:rsid w:val="00042C09"/>
    <w:rsid w:val="00043CB5"/>
    <w:rsid w:val="00044078"/>
    <w:rsid w:val="00044B7B"/>
    <w:rsid w:val="00046125"/>
    <w:rsid w:val="00046610"/>
    <w:rsid w:val="000471AA"/>
    <w:rsid w:val="00050419"/>
    <w:rsid w:val="0005142E"/>
    <w:rsid w:val="00051EBB"/>
    <w:rsid w:val="00051F91"/>
    <w:rsid w:val="000526C6"/>
    <w:rsid w:val="00052977"/>
    <w:rsid w:val="00053F1A"/>
    <w:rsid w:val="0005451D"/>
    <w:rsid w:val="000556C4"/>
    <w:rsid w:val="00055BA2"/>
    <w:rsid w:val="00056CF7"/>
    <w:rsid w:val="00057702"/>
    <w:rsid w:val="00057D02"/>
    <w:rsid w:val="00060A23"/>
    <w:rsid w:val="0006120B"/>
    <w:rsid w:val="0006154B"/>
    <w:rsid w:val="00061868"/>
    <w:rsid w:val="000618E6"/>
    <w:rsid w:val="0006195F"/>
    <w:rsid w:val="00061B2D"/>
    <w:rsid w:val="00061D3F"/>
    <w:rsid w:val="00062B38"/>
    <w:rsid w:val="000630C8"/>
    <w:rsid w:val="00063C9B"/>
    <w:rsid w:val="0006511F"/>
    <w:rsid w:val="00065780"/>
    <w:rsid w:val="000669C5"/>
    <w:rsid w:val="00066B01"/>
    <w:rsid w:val="00066FEC"/>
    <w:rsid w:val="00067D04"/>
    <w:rsid w:val="00067E39"/>
    <w:rsid w:val="0007078B"/>
    <w:rsid w:val="00070C34"/>
    <w:rsid w:val="000710D9"/>
    <w:rsid w:val="000719BD"/>
    <w:rsid w:val="00071A68"/>
    <w:rsid w:val="00072172"/>
    <w:rsid w:val="000721AC"/>
    <w:rsid w:val="000724B2"/>
    <w:rsid w:val="00075C28"/>
    <w:rsid w:val="00076336"/>
    <w:rsid w:val="00076DAA"/>
    <w:rsid w:val="00076E68"/>
    <w:rsid w:val="00077601"/>
    <w:rsid w:val="00077683"/>
    <w:rsid w:val="00080AF5"/>
    <w:rsid w:val="00080E50"/>
    <w:rsid w:val="00081642"/>
    <w:rsid w:val="00083046"/>
    <w:rsid w:val="00083A43"/>
    <w:rsid w:val="00083AAD"/>
    <w:rsid w:val="00083F5B"/>
    <w:rsid w:val="000840AE"/>
    <w:rsid w:val="00085D11"/>
    <w:rsid w:val="000875DB"/>
    <w:rsid w:val="000900A7"/>
    <w:rsid w:val="00090404"/>
    <w:rsid w:val="00090682"/>
    <w:rsid w:val="00090B42"/>
    <w:rsid w:val="00090D87"/>
    <w:rsid w:val="00092087"/>
    <w:rsid w:val="00093657"/>
    <w:rsid w:val="00094060"/>
    <w:rsid w:val="000948CD"/>
    <w:rsid w:val="00097821"/>
    <w:rsid w:val="000A064E"/>
    <w:rsid w:val="000A1AB0"/>
    <w:rsid w:val="000A27E3"/>
    <w:rsid w:val="000A2A97"/>
    <w:rsid w:val="000A2B3F"/>
    <w:rsid w:val="000A305D"/>
    <w:rsid w:val="000A3A60"/>
    <w:rsid w:val="000A3CCB"/>
    <w:rsid w:val="000A53B0"/>
    <w:rsid w:val="000A6F7B"/>
    <w:rsid w:val="000A7970"/>
    <w:rsid w:val="000A7EC6"/>
    <w:rsid w:val="000B27AC"/>
    <w:rsid w:val="000B37A4"/>
    <w:rsid w:val="000B436D"/>
    <w:rsid w:val="000B54EF"/>
    <w:rsid w:val="000B5EFE"/>
    <w:rsid w:val="000B67B4"/>
    <w:rsid w:val="000B7269"/>
    <w:rsid w:val="000B7B2E"/>
    <w:rsid w:val="000C02A6"/>
    <w:rsid w:val="000C0C4D"/>
    <w:rsid w:val="000C11C6"/>
    <w:rsid w:val="000C379E"/>
    <w:rsid w:val="000C39D7"/>
    <w:rsid w:val="000C3D2A"/>
    <w:rsid w:val="000C425D"/>
    <w:rsid w:val="000C5C82"/>
    <w:rsid w:val="000C711E"/>
    <w:rsid w:val="000C7F21"/>
    <w:rsid w:val="000D0630"/>
    <w:rsid w:val="000D07E8"/>
    <w:rsid w:val="000D09F5"/>
    <w:rsid w:val="000D39DD"/>
    <w:rsid w:val="000D41F9"/>
    <w:rsid w:val="000D42C1"/>
    <w:rsid w:val="000D4895"/>
    <w:rsid w:val="000D527B"/>
    <w:rsid w:val="000D5DB8"/>
    <w:rsid w:val="000D71E5"/>
    <w:rsid w:val="000E09A0"/>
    <w:rsid w:val="000E3085"/>
    <w:rsid w:val="000E4E42"/>
    <w:rsid w:val="000E5217"/>
    <w:rsid w:val="000E5DFE"/>
    <w:rsid w:val="000E74A9"/>
    <w:rsid w:val="000E7514"/>
    <w:rsid w:val="000F0361"/>
    <w:rsid w:val="000F3528"/>
    <w:rsid w:val="000F45C9"/>
    <w:rsid w:val="000F496F"/>
    <w:rsid w:val="000F5053"/>
    <w:rsid w:val="000F569F"/>
    <w:rsid w:val="000F5702"/>
    <w:rsid w:val="000F587B"/>
    <w:rsid w:val="000F688B"/>
    <w:rsid w:val="000F6C1E"/>
    <w:rsid w:val="000F763A"/>
    <w:rsid w:val="0010048C"/>
    <w:rsid w:val="00100797"/>
    <w:rsid w:val="001028F2"/>
    <w:rsid w:val="00102B0C"/>
    <w:rsid w:val="00102B70"/>
    <w:rsid w:val="001037C6"/>
    <w:rsid w:val="00104B32"/>
    <w:rsid w:val="0010648D"/>
    <w:rsid w:val="001070E4"/>
    <w:rsid w:val="001101DD"/>
    <w:rsid w:val="00110F50"/>
    <w:rsid w:val="001111BB"/>
    <w:rsid w:val="001117D5"/>
    <w:rsid w:val="00111E38"/>
    <w:rsid w:val="001123E7"/>
    <w:rsid w:val="00112E09"/>
    <w:rsid w:val="00112FE1"/>
    <w:rsid w:val="00113421"/>
    <w:rsid w:val="001136A9"/>
    <w:rsid w:val="00113AB1"/>
    <w:rsid w:val="00113DFF"/>
    <w:rsid w:val="00114B66"/>
    <w:rsid w:val="00115746"/>
    <w:rsid w:val="001157AF"/>
    <w:rsid w:val="0011615E"/>
    <w:rsid w:val="0011677D"/>
    <w:rsid w:val="00116BB7"/>
    <w:rsid w:val="00116E31"/>
    <w:rsid w:val="00116F5F"/>
    <w:rsid w:val="0011752C"/>
    <w:rsid w:val="001179F6"/>
    <w:rsid w:val="0012058C"/>
    <w:rsid w:val="00122348"/>
    <w:rsid w:val="0012256D"/>
    <w:rsid w:val="00122836"/>
    <w:rsid w:val="00122840"/>
    <w:rsid w:val="00123A51"/>
    <w:rsid w:val="00123A6E"/>
    <w:rsid w:val="00123EEB"/>
    <w:rsid w:val="0012459F"/>
    <w:rsid w:val="00124947"/>
    <w:rsid w:val="00126A4F"/>
    <w:rsid w:val="00126B26"/>
    <w:rsid w:val="00126EFA"/>
    <w:rsid w:val="00127002"/>
    <w:rsid w:val="00127F65"/>
    <w:rsid w:val="00132366"/>
    <w:rsid w:val="00132978"/>
    <w:rsid w:val="0013345A"/>
    <w:rsid w:val="00134776"/>
    <w:rsid w:val="00135071"/>
    <w:rsid w:val="00135269"/>
    <w:rsid w:val="001352F1"/>
    <w:rsid w:val="00136965"/>
    <w:rsid w:val="00137587"/>
    <w:rsid w:val="001376B2"/>
    <w:rsid w:val="001403D5"/>
    <w:rsid w:val="001408C8"/>
    <w:rsid w:val="001419CB"/>
    <w:rsid w:val="001427EA"/>
    <w:rsid w:val="00142866"/>
    <w:rsid w:val="00143D70"/>
    <w:rsid w:val="00143DAE"/>
    <w:rsid w:val="0014458C"/>
    <w:rsid w:val="0014565A"/>
    <w:rsid w:val="0014597E"/>
    <w:rsid w:val="001469A8"/>
    <w:rsid w:val="00146CC6"/>
    <w:rsid w:val="001524C6"/>
    <w:rsid w:val="001545B5"/>
    <w:rsid w:val="00155303"/>
    <w:rsid w:val="0015600D"/>
    <w:rsid w:val="00157D34"/>
    <w:rsid w:val="001616CC"/>
    <w:rsid w:val="00161FE8"/>
    <w:rsid w:val="00162841"/>
    <w:rsid w:val="00162CA7"/>
    <w:rsid w:val="00163B67"/>
    <w:rsid w:val="00164276"/>
    <w:rsid w:val="00166194"/>
    <w:rsid w:val="00166B7C"/>
    <w:rsid w:val="00167451"/>
    <w:rsid w:val="00167A4B"/>
    <w:rsid w:val="00170510"/>
    <w:rsid w:val="00171D8A"/>
    <w:rsid w:val="00172782"/>
    <w:rsid w:val="00172C51"/>
    <w:rsid w:val="00172DD6"/>
    <w:rsid w:val="00173ACA"/>
    <w:rsid w:val="00174497"/>
    <w:rsid w:val="00174F31"/>
    <w:rsid w:val="00175118"/>
    <w:rsid w:val="00176633"/>
    <w:rsid w:val="001771F3"/>
    <w:rsid w:val="00177D34"/>
    <w:rsid w:val="001816A9"/>
    <w:rsid w:val="001820AE"/>
    <w:rsid w:val="00182208"/>
    <w:rsid w:val="0018241C"/>
    <w:rsid w:val="0018242B"/>
    <w:rsid w:val="00182716"/>
    <w:rsid w:val="00182D48"/>
    <w:rsid w:val="00184878"/>
    <w:rsid w:val="00184DE8"/>
    <w:rsid w:val="00184F91"/>
    <w:rsid w:val="00185956"/>
    <w:rsid w:val="001863C9"/>
    <w:rsid w:val="00186922"/>
    <w:rsid w:val="00186AED"/>
    <w:rsid w:val="00186E13"/>
    <w:rsid w:val="0019068F"/>
    <w:rsid w:val="0019113D"/>
    <w:rsid w:val="0019339B"/>
    <w:rsid w:val="00193717"/>
    <w:rsid w:val="00194030"/>
    <w:rsid w:val="00194500"/>
    <w:rsid w:val="00195C28"/>
    <w:rsid w:val="001A06FF"/>
    <w:rsid w:val="001A07C4"/>
    <w:rsid w:val="001A0C62"/>
    <w:rsid w:val="001A1B0D"/>
    <w:rsid w:val="001A1F10"/>
    <w:rsid w:val="001A1FAE"/>
    <w:rsid w:val="001A32EC"/>
    <w:rsid w:val="001A3332"/>
    <w:rsid w:val="001A4DA5"/>
    <w:rsid w:val="001A6380"/>
    <w:rsid w:val="001A646E"/>
    <w:rsid w:val="001A676C"/>
    <w:rsid w:val="001A70D6"/>
    <w:rsid w:val="001A746D"/>
    <w:rsid w:val="001A7CD6"/>
    <w:rsid w:val="001B054F"/>
    <w:rsid w:val="001B1606"/>
    <w:rsid w:val="001B1BD3"/>
    <w:rsid w:val="001B1C56"/>
    <w:rsid w:val="001B236E"/>
    <w:rsid w:val="001B273A"/>
    <w:rsid w:val="001B3FA5"/>
    <w:rsid w:val="001B4043"/>
    <w:rsid w:val="001B4793"/>
    <w:rsid w:val="001B47E6"/>
    <w:rsid w:val="001B531D"/>
    <w:rsid w:val="001B6249"/>
    <w:rsid w:val="001B6341"/>
    <w:rsid w:val="001B63C9"/>
    <w:rsid w:val="001B6496"/>
    <w:rsid w:val="001C233A"/>
    <w:rsid w:val="001C24A8"/>
    <w:rsid w:val="001C25F2"/>
    <w:rsid w:val="001C2A22"/>
    <w:rsid w:val="001C2AD2"/>
    <w:rsid w:val="001C4DFC"/>
    <w:rsid w:val="001C5F65"/>
    <w:rsid w:val="001C6155"/>
    <w:rsid w:val="001C6BA1"/>
    <w:rsid w:val="001C6D19"/>
    <w:rsid w:val="001C73A3"/>
    <w:rsid w:val="001C7552"/>
    <w:rsid w:val="001D0391"/>
    <w:rsid w:val="001D317E"/>
    <w:rsid w:val="001D4A45"/>
    <w:rsid w:val="001D6118"/>
    <w:rsid w:val="001D63E0"/>
    <w:rsid w:val="001D6B8D"/>
    <w:rsid w:val="001D72A2"/>
    <w:rsid w:val="001D7D8E"/>
    <w:rsid w:val="001D7E44"/>
    <w:rsid w:val="001D7F30"/>
    <w:rsid w:val="001E039F"/>
    <w:rsid w:val="001E0A87"/>
    <w:rsid w:val="001E0EB8"/>
    <w:rsid w:val="001E1146"/>
    <w:rsid w:val="001E1991"/>
    <w:rsid w:val="001E1F05"/>
    <w:rsid w:val="001E2373"/>
    <w:rsid w:val="001E2411"/>
    <w:rsid w:val="001E2E7A"/>
    <w:rsid w:val="001E415B"/>
    <w:rsid w:val="001E5E74"/>
    <w:rsid w:val="001E5FDC"/>
    <w:rsid w:val="001E6AF2"/>
    <w:rsid w:val="001E6CD0"/>
    <w:rsid w:val="001E70AD"/>
    <w:rsid w:val="001E772F"/>
    <w:rsid w:val="001E7AB2"/>
    <w:rsid w:val="001E7FB4"/>
    <w:rsid w:val="001F08EE"/>
    <w:rsid w:val="001F0C01"/>
    <w:rsid w:val="001F0E18"/>
    <w:rsid w:val="001F1C18"/>
    <w:rsid w:val="001F3263"/>
    <w:rsid w:val="001F3A84"/>
    <w:rsid w:val="001F40E9"/>
    <w:rsid w:val="001F5FDD"/>
    <w:rsid w:val="001F70FD"/>
    <w:rsid w:val="001F725F"/>
    <w:rsid w:val="001F7CD7"/>
    <w:rsid w:val="002006AA"/>
    <w:rsid w:val="00200FC1"/>
    <w:rsid w:val="002016BF"/>
    <w:rsid w:val="002017D7"/>
    <w:rsid w:val="0020269F"/>
    <w:rsid w:val="0020315B"/>
    <w:rsid w:val="002033F6"/>
    <w:rsid w:val="002039A5"/>
    <w:rsid w:val="002056CB"/>
    <w:rsid w:val="00205707"/>
    <w:rsid w:val="00205BB6"/>
    <w:rsid w:val="00205C56"/>
    <w:rsid w:val="0020640A"/>
    <w:rsid w:val="00207326"/>
    <w:rsid w:val="0020747C"/>
    <w:rsid w:val="00211618"/>
    <w:rsid w:val="00212270"/>
    <w:rsid w:val="00213538"/>
    <w:rsid w:val="002143BF"/>
    <w:rsid w:val="00214F71"/>
    <w:rsid w:val="00216CE4"/>
    <w:rsid w:val="002174AB"/>
    <w:rsid w:val="002174DF"/>
    <w:rsid w:val="00217F48"/>
    <w:rsid w:val="002207A5"/>
    <w:rsid w:val="0022449B"/>
    <w:rsid w:val="00226606"/>
    <w:rsid w:val="00226DC9"/>
    <w:rsid w:val="00227540"/>
    <w:rsid w:val="002329A5"/>
    <w:rsid w:val="00233161"/>
    <w:rsid w:val="00235646"/>
    <w:rsid w:val="00236574"/>
    <w:rsid w:val="00236E1D"/>
    <w:rsid w:val="002371A0"/>
    <w:rsid w:val="00237719"/>
    <w:rsid w:val="00237985"/>
    <w:rsid w:val="00240143"/>
    <w:rsid w:val="0024145D"/>
    <w:rsid w:val="0024248B"/>
    <w:rsid w:val="0024286F"/>
    <w:rsid w:val="002428F8"/>
    <w:rsid w:val="00242D00"/>
    <w:rsid w:val="00243453"/>
    <w:rsid w:val="0024395F"/>
    <w:rsid w:val="002440A6"/>
    <w:rsid w:val="00246258"/>
    <w:rsid w:val="002467B3"/>
    <w:rsid w:val="00247ECB"/>
    <w:rsid w:val="00250231"/>
    <w:rsid w:val="00250778"/>
    <w:rsid w:val="00250905"/>
    <w:rsid w:val="002514E1"/>
    <w:rsid w:val="002519D8"/>
    <w:rsid w:val="00253723"/>
    <w:rsid w:val="00253F56"/>
    <w:rsid w:val="00254C99"/>
    <w:rsid w:val="00256E5D"/>
    <w:rsid w:val="00257215"/>
    <w:rsid w:val="00260B8E"/>
    <w:rsid w:val="00260D99"/>
    <w:rsid w:val="00260F0D"/>
    <w:rsid w:val="00262B99"/>
    <w:rsid w:val="002631CA"/>
    <w:rsid w:val="00264761"/>
    <w:rsid w:val="002651A6"/>
    <w:rsid w:val="00265A1A"/>
    <w:rsid w:val="0026614D"/>
    <w:rsid w:val="0026687F"/>
    <w:rsid w:val="00266904"/>
    <w:rsid w:val="00266FAE"/>
    <w:rsid w:val="0026736A"/>
    <w:rsid w:val="00267D88"/>
    <w:rsid w:val="00270B8B"/>
    <w:rsid w:val="00271264"/>
    <w:rsid w:val="00271511"/>
    <w:rsid w:val="00271FC5"/>
    <w:rsid w:val="002722AA"/>
    <w:rsid w:val="00274A6F"/>
    <w:rsid w:val="002750EF"/>
    <w:rsid w:val="0027564C"/>
    <w:rsid w:val="00275F1F"/>
    <w:rsid w:val="002767EA"/>
    <w:rsid w:val="00277446"/>
    <w:rsid w:val="00280A10"/>
    <w:rsid w:val="00282924"/>
    <w:rsid w:val="0028293B"/>
    <w:rsid w:val="0028374A"/>
    <w:rsid w:val="00283ABC"/>
    <w:rsid w:val="00283C87"/>
    <w:rsid w:val="00283DDB"/>
    <w:rsid w:val="00284280"/>
    <w:rsid w:val="00284C79"/>
    <w:rsid w:val="00285C6D"/>
    <w:rsid w:val="0028702F"/>
    <w:rsid w:val="0028752A"/>
    <w:rsid w:val="002879C5"/>
    <w:rsid w:val="00287F94"/>
    <w:rsid w:val="002913F6"/>
    <w:rsid w:val="00291EEC"/>
    <w:rsid w:val="00292E1A"/>
    <w:rsid w:val="00292EC9"/>
    <w:rsid w:val="0029345B"/>
    <w:rsid w:val="00293DD6"/>
    <w:rsid w:val="00295285"/>
    <w:rsid w:val="00296133"/>
    <w:rsid w:val="0029644A"/>
    <w:rsid w:val="002A0850"/>
    <w:rsid w:val="002A1244"/>
    <w:rsid w:val="002A1A49"/>
    <w:rsid w:val="002A2522"/>
    <w:rsid w:val="002A344A"/>
    <w:rsid w:val="002A37D8"/>
    <w:rsid w:val="002A546F"/>
    <w:rsid w:val="002A56DB"/>
    <w:rsid w:val="002A669A"/>
    <w:rsid w:val="002B03B8"/>
    <w:rsid w:val="002B066C"/>
    <w:rsid w:val="002B088B"/>
    <w:rsid w:val="002B0BAB"/>
    <w:rsid w:val="002B2458"/>
    <w:rsid w:val="002B31D3"/>
    <w:rsid w:val="002B33D7"/>
    <w:rsid w:val="002B4540"/>
    <w:rsid w:val="002B4989"/>
    <w:rsid w:val="002B4A82"/>
    <w:rsid w:val="002B5389"/>
    <w:rsid w:val="002B5856"/>
    <w:rsid w:val="002B784A"/>
    <w:rsid w:val="002B7E12"/>
    <w:rsid w:val="002B7E6B"/>
    <w:rsid w:val="002C0434"/>
    <w:rsid w:val="002C0627"/>
    <w:rsid w:val="002C07F8"/>
    <w:rsid w:val="002C13E8"/>
    <w:rsid w:val="002C1530"/>
    <w:rsid w:val="002C168F"/>
    <w:rsid w:val="002C1DF6"/>
    <w:rsid w:val="002C2485"/>
    <w:rsid w:val="002C2B7E"/>
    <w:rsid w:val="002C3162"/>
    <w:rsid w:val="002C3B90"/>
    <w:rsid w:val="002C4322"/>
    <w:rsid w:val="002C4903"/>
    <w:rsid w:val="002C4C76"/>
    <w:rsid w:val="002C53F9"/>
    <w:rsid w:val="002C54B3"/>
    <w:rsid w:val="002C55D8"/>
    <w:rsid w:val="002C5EAC"/>
    <w:rsid w:val="002C6771"/>
    <w:rsid w:val="002C6B91"/>
    <w:rsid w:val="002C7555"/>
    <w:rsid w:val="002C7B0C"/>
    <w:rsid w:val="002D00E8"/>
    <w:rsid w:val="002D0975"/>
    <w:rsid w:val="002D0EA8"/>
    <w:rsid w:val="002D24E2"/>
    <w:rsid w:val="002D2DD3"/>
    <w:rsid w:val="002D4611"/>
    <w:rsid w:val="002D46FC"/>
    <w:rsid w:val="002D484C"/>
    <w:rsid w:val="002D49E7"/>
    <w:rsid w:val="002D4DFB"/>
    <w:rsid w:val="002D59AF"/>
    <w:rsid w:val="002D5DD1"/>
    <w:rsid w:val="002D6558"/>
    <w:rsid w:val="002D67BB"/>
    <w:rsid w:val="002D7631"/>
    <w:rsid w:val="002E04C2"/>
    <w:rsid w:val="002E0645"/>
    <w:rsid w:val="002E07F8"/>
    <w:rsid w:val="002E0DB6"/>
    <w:rsid w:val="002E25FF"/>
    <w:rsid w:val="002E4242"/>
    <w:rsid w:val="002E4826"/>
    <w:rsid w:val="002E543D"/>
    <w:rsid w:val="002E56B4"/>
    <w:rsid w:val="002E6292"/>
    <w:rsid w:val="002E63A6"/>
    <w:rsid w:val="002E67F0"/>
    <w:rsid w:val="002E6CF5"/>
    <w:rsid w:val="002E7403"/>
    <w:rsid w:val="002E75DC"/>
    <w:rsid w:val="002E76EC"/>
    <w:rsid w:val="002E7E52"/>
    <w:rsid w:val="002F326D"/>
    <w:rsid w:val="002F7041"/>
    <w:rsid w:val="002F70F8"/>
    <w:rsid w:val="002F7134"/>
    <w:rsid w:val="002F72CD"/>
    <w:rsid w:val="0030060B"/>
    <w:rsid w:val="003006DC"/>
    <w:rsid w:val="00300D45"/>
    <w:rsid w:val="00300DCF"/>
    <w:rsid w:val="00301F4A"/>
    <w:rsid w:val="00302665"/>
    <w:rsid w:val="0030269C"/>
    <w:rsid w:val="0030371B"/>
    <w:rsid w:val="00303746"/>
    <w:rsid w:val="00303AD0"/>
    <w:rsid w:val="003043D6"/>
    <w:rsid w:val="003043F8"/>
    <w:rsid w:val="00304610"/>
    <w:rsid w:val="003057A9"/>
    <w:rsid w:val="0030604A"/>
    <w:rsid w:val="003060A7"/>
    <w:rsid w:val="003077DC"/>
    <w:rsid w:val="00310F3F"/>
    <w:rsid w:val="003111B0"/>
    <w:rsid w:val="003112A2"/>
    <w:rsid w:val="0031187A"/>
    <w:rsid w:val="00313AB2"/>
    <w:rsid w:val="00313EB0"/>
    <w:rsid w:val="003140EE"/>
    <w:rsid w:val="0031445C"/>
    <w:rsid w:val="00314501"/>
    <w:rsid w:val="00314A9B"/>
    <w:rsid w:val="00316A97"/>
    <w:rsid w:val="00316BA2"/>
    <w:rsid w:val="00317066"/>
    <w:rsid w:val="003173AC"/>
    <w:rsid w:val="00317ACC"/>
    <w:rsid w:val="00317B6F"/>
    <w:rsid w:val="00317C92"/>
    <w:rsid w:val="00317D4C"/>
    <w:rsid w:val="0032194E"/>
    <w:rsid w:val="00322637"/>
    <w:rsid w:val="003228E3"/>
    <w:rsid w:val="00323513"/>
    <w:rsid w:val="0032393D"/>
    <w:rsid w:val="00323DE9"/>
    <w:rsid w:val="00324398"/>
    <w:rsid w:val="00324C08"/>
    <w:rsid w:val="003267C9"/>
    <w:rsid w:val="00330919"/>
    <w:rsid w:val="00330EEA"/>
    <w:rsid w:val="00331981"/>
    <w:rsid w:val="0033297D"/>
    <w:rsid w:val="00332C0C"/>
    <w:rsid w:val="003344E7"/>
    <w:rsid w:val="00334C7E"/>
    <w:rsid w:val="00334FC2"/>
    <w:rsid w:val="0034084D"/>
    <w:rsid w:val="00340A91"/>
    <w:rsid w:val="0034143D"/>
    <w:rsid w:val="00343C1E"/>
    <w:rsid w:val="00344F36"/>
    <w:rsid w:val="003452AF"/>
    <w:rsid w:val="00345F47"/>
    <w:rsid w:val="00346067"/>
    <w:rsid w:val="00346699"/>
    <w:rsid w:val="00347709"/>
    <w:rsid w:val="00347FBB"/>
    <w:rsid w:val="003509B9"/>
    <w:rsid w:val="00351037"/>
    <w:rsid w:val="0035130B"/>
    <w:rsid w:val="00351B06"/>
    <w:rsid w:val="0035276C"/>
    <w:rsid w:val="003532EF"/>
    <w:rsid w:val="003537D5"/>
    <w:rsid w:val="00355520"/>
    <w:rsid w:val="003559B1"/>
    <w:rsid w:val="003562E4"/>
    <w:rsid w:val="0035639A"/>
    <w:rsid w:val="00356F55"/>
    <w:rsid w:val="003576D9"/>
    <w:rsid w:val="00360267"/>
    <w:rsid w:val="0036031E"/>
    <w:rsid w:val="003608C5"/>
    <w:rsid w:val="003617A0"/>
    <w:rsid w:val="00361BB3"/>
    <w:rsid w:val="00362705"/>
    <w:rsid w:val="00363791"/>
    <w:rsid w:val="0036521B"/>
    <w:rsid w:val="00365436"/>
    <w:rsid w:val="003658C8"/>
    <w:rsid w:val="00366165"/>
    <w:rsid w:val="00367357"/>
    <w:rsid w:val="003675D5"/>
    <w:rsid w:val="00367B12"/>
    <w:rsid w:val="003700CE"/>
    <w:rsid w:val="0037051D"/>
    <w:rsid w:val="00370F6F"/>
    <w:rsid w:val="00371608"/>
    <w:rsid w:val="00371613"/>
    <w:rsid w:val="003717A7"/>
    <w:rsid w:val="00371CCA"/>
    <w:rsid w:val="00372A08"/>
    <w:rsid w:val="00373DE5"/>
    <w:rsid w:val="00375006"/>
    <w:rsid w:val="003766BD"/>
    <w:rsid w:val="003802D7"/>
    <w:rsid w:val="0038101E"/>
    <w:rsid w:val="00381F11"/>
    <w:rsid w:val="003822DB"/>
    <w:rsid w:val="003823C7"/>
    <w:rsid w:val="00383478"/>
    <w:rsid w:val="00383D7F"/>
    <w:rsid w:val="00383DFF"/>
    <w:rsid w:val="00383EB2"/>
    <w:rsid w:val="00384860"/>
    <w:rsid w:val="003851F3"/>
    <w:rsid w:val="00385B03"/>
    <w:rsid w:val="00385E4E"/>
    <w:rsid w:val="00385F41"/>
    <w:rsid w:val="00390991"/>
    <w:rsid w:val="00390B94"/>
    <w:rsid w:val="00391BB6"/>
    <w:rsid w:val="0039229D"/>
    <w:rsid w:val="003935AA"/>
    <w:rsid w:val="003935CD"/>
    <w:rsid w:val="00393C1F"/>
    <w:rsid w:val="00393F68"/>
    <w:rsid w:val="003940ED"/>
    <w:rsid w:val="003955AA"/>
    <w:rsid w:val="00396B4E"/>
    <w:rsid w:val="003970C8"/>
    <w:rsid w:val="00397C0F"/>
    <w:rsid w:val="00397C9B"/>
    <w:rsid w:val="003A0425"/>
    <w:rsid w:val="003A1398"/>
    <w:rsid w:val="003A29AB"/>
    <w:rsid w:val="003A2FDA"/>
    <w:rsid w:val="003A354A"/>
    <w:rsid w:val="003A3921"/>
    <w:rsid w:val="003A3D1E"/>
    <w:rsid w:val="003A4431"/>
    <w:rsid w:val="003A57DA"/>
    <w:rsid w:val="003A6FDE"/>
    <w:rsid w:val="003B163D"/>
    <w:rsid w:val="003B16F6"/>
    <w:rsid w:val="003B1AB0"/>
    <w:rsid w:val="003B32D3"/>
    <w:rsid w:val="003B3837"/>
    <w:rsid w:val="003B4A85"/>
    <w:rsid w:val="003B4D6D"/>
    <w:rsid w:val="003B4EB2"/>
    <w:rsid w:val="003B61BC"/>
    <w:rsid w:val="003B65E1"/>
    <w:rsid w:val="003B7B37"/>
    <w:rsid w:val="003C029F"/>
    <w:rsid w:val="003C1212"/>
    <w:rsid w:val="003C2667"/>
    <w:rsid w:val="003C3BDE"/>
    <w:rsid w:val="003C4398"/>
    <w:rsid w:val="003C4805"/>
    <w:rsid w:val="003C5D98"/>
    <w:rsid w:val="003C7E67"/>
    <w:rsid w:val="003D013A"/>
    <w:rsid w:val="003D0A3D"/>
    <w:rsid w:val="003D0DB1"/>
    <w:rsid w:val="003D17EE"/>
    <w:rsid w:val="003D18FC"/>
    <w:rsid w:val="003D2971"/>
    <w:rsid w:val="003D3C54"/>
    <w:rsid w:val="003D4248"/>
    <w:rsid w:val="003D4AF4"/>
    <w:rsid w:val="003D57E7"/>
    <w:rsid w:val="003D58FA"/>
    <w:rsid w:val="003D6592"/>
    <w:rsid w:val="003D6774"/>
    <w:rsid w:val="003D7320"/>
    <w:rsid w:val="003E0144"/>
    <w:rsid w:val="003E03AA"/>
    <w:rsid w:val="003E0550"/>
    <w:rsid w:val="003E05A7"/>
    <w:rsid w:val="003E0AC8"/>
    <w:rsid w:val="003E1105"/>
    <w:rsid w:val="003E2BD5"/>
    <w:rsid w:val="003E34E8"/>
    <w:rsid w:val="003E40FD"/>
    <w:rsid w:val="003E515B"/>
    <w:rsid w:val="003E5C7D"/>
    <w:rsid w:val="003E73B4"/>
    <w:rsid w:val="003E7FD9"/>
    <w:rsid w:val="003F05CD"/>
    <w:rsid w:val="003F07FE"/>
    <w:rsid w:val="003F0CDA"/>
    <w:rsid w:val="003F135D"/>
    <w:rsid w:val="003F1958"/>
    <w:rsid w:val="003F1C86"/>
    <w:rsid w:val="003F1E83"/>
    <w:rsid w:val="003F22A0"/>
    <w:rsid w:val="003F3612"/>
    <w:rsid w:val="003F3D1E"/>
    <w:rsid w:val="003F451D"/>
    <w:rsid w:val="004004F6"/>
    <w:rsid w:val="004004F8"/>
    <w:rsid w:val="004012AA"/>
    <w:rsid w:val="004025FD"/>
    <w:rsid w:val="00402914"/>
    <w:rsid w:val="00402EA5"/>
    <w:rsid w:val="00403055"/>
    <w:rsid w:val="004039A8"/>
    <w:rsid w:val="00403C21"/>
    <w:rsid w:val="00404649"/>
    <w:rsid w:val="00404853"/>
    <w:rsid w:val="0040505B"/>
    <w:rsid w:val="00405558"/>
    <w:rsid w:val="00405E5D"/>
    <w:rsid w:val="00406530"/>
    <w:rsid w:val="00406F63"/>
    <w:rsid w:val="00407EC7"/>
    <w:rsid w:val="00410507"/>
    <w:rsid w:val="00410FEC"/>
    <w:rsid w:val="00411AAA"/>
    <w:rsid w:val="00413551"/>
    <w:rsid w:val="00415101"/>
    <w:rsid w:val="004169C1"/>
    <w:rsid w:val="00416F43"/>
    <w:rsid w:val="0041702A"/>
    <w:rsid w:val="00417A0D"/>
    <w:rsid w:val="0042047E"/>
    <w:rsid w:val="00420C97"/>
    <w:rsid w:val="004217C4"/>
    <w:rsid w:val="00421AF7"/>
    <w:rsid w:val="00422510"/>
    <w:rsid w:val="004244AC"/>
    <w:rsid w:val="00425EB0"/>
    <w:rsid w:val="0042679D"/>
    <w:rsid w:val="00426EA6"/>
    <w:rsid w:val="004271C4"/>
    <w:rsid w:val="00427450"/>
    <w:rsid w:val="00427529"/>
    <w:rsid w:val="00431010"/>
    <w:rsid w:val="00431318"/>
    <w:rsid w:val="004314CF"/>
    <w:rsid w:val="004320A9"/>
    <w:rsid w:val="004335B1"/>
    <w:rsid w:val="00433F52"/>
    <w:rsid w:val="004359FA"/>
    <w:rsid w:val="004366BD"/>
    <w:rsid w:val="00436CF6"/>
    <w:rsid w:val="00436DDE"/>
    <w:rsid w:val="004374C0"/>
    <w:rsid w:val="0043770B"/>
    <w:rsid w:val="0044053F"/>
    <w:rsid w:val="00440DD3"/>
    <w:rsid w:val="00442498"/>
    <w:rsid w:val="004433CE"/>
    <w:rsid w:val="0044459F"/>
    <w:rsid w:val="00444682"/>
    <w:rsid w:val="004455B8"/>
    <w:rsid w:val="00445802"/>
    <w:rsid w:val="00445F10"/>
    <w:rsid w:val="00447094"/>
    <w:rsid w:val="004470C0"/>
    <w:rsid w:val="00447A04"/>
    <w:rsid w:val="00447B50"/>
    <w:rsid w:val="00453202"/>
    <w:rsid w:val="004541EB"/>
    <w:rsid w:val="004541FD"/>
    <w:rsid w:val="00454ACF"/>
    <w:rsid w:val="00454EBB"/>
    <w:rsid w:val="00455ABD"/>
    <w:rsid w:val="004561AB"/>
    <w:rsid w:val="00457A64"/>
    <w:rsid w:val="00460092"/>
    <w:rsid w:val="00460C5F"/>
    <w:rsid w:val="00460D87"/>
    <w:rsid w:val="00460DA8"/>
    <w:rsid w:val="004619E3"/>
    <w:rsid w:val="00464946"/>
    <w:rsid w:val="0046519C"/>
    <w:rsid w:val="004660F8"/>
    <w:rsid w:val="00467A1C"/>
    <w:rsid w:val="004703BE"/>
    <w:rsid w:val="00470594"/>
    <w:rsid w:val="00470C07"/>
    <w:rsid w:val="00470D73"/>
    <w:rsid w:val="00471368"/>
    <w:rsid w:val="0047166C"/>
    <w:rsid w:val="00471AB6"/>
    <w:rsid w:val="00472249"/>
    <w:rsid w:val="0047287C"/>
    <w:rsid w:val="00473B07"/>
    <w:rsid w:val="004750C9"/>
    <w:rsid w:val="00475546"/>
    <w:rsid w:val="004764C2"/>
    <w:rsid w:val="0048084C"/>
    <w:rsid w:val="004811F2"/>
    <w:rsid w:val="00482B58"/>
    <w:rsid w:val="0048421B"/>
    <w:rsid w:val="00484DAA"/>
    <w:rsid w:val="00490502"/>
    <w:rsid w:val="00490B1A"/>
    <w:rsid w:val="00490FBA"/>
    <w:rsid w:val="00491F5D"/>
    <w:rsid w:val="00491FE5"/>
    <w:rsid w:val="004935F5"/>
    <w:rsid w:val="0049493E"/>
    <w:rsid w:val="00495CFB"/>
    <w:rsid w:val="0049659F"/>
    <w:rsid w:val="00496F81"/>
    <w:rsid w:val="00497A1B"/>
    <w:rsid w:val="00497ADB"/>
    <w:rsid w:val="004A04C6"/>
    <w:rsid w:val="004A05D5"/>
    <w:rsid w:val="004A0E4A"/>
    <w:rsid w:val="004A1331"/>
    <w:rsid w:val="004A1FEB"/>
    <w:rsid w:val="004A26A5"/>
    <w:rsid w:val="004A339D"/>
    <w:rsid w:val="004A50AC"/>
    <w:rsid w:val="004A568F"/>
    <w:rsid w:val="004A5692"/>
    <w:rsid w:val="004A7676"/>
    <w:rsid w:val="004A7A5A"/>
    <w:rsid w:val="004B10A7"/>
    <w:rsid w:val="004B2217"/>
    <w:rsid w:val="004B24AB"/>
    <w:rsid w:val="004B33BD"/>
    <w:rsid w:val="004B3826"/>
    <w:rsid w:val="004B39EB"/>
    <w:rsid w:val="004B3B10"/>
    <w:rsid w:val="004B5DD2"/>
    <w:rsid w:val="004B7B8E"/>
    <w:rsid w:val="004B7BE1"/>
    <w:rsid w:val="004B7D17"/>
    <w:rsid w:val="004C03F8"/>
    <w:rsid w:val="004C07F1"/>
    <w:rsid w:val="004C090C"/>
    <w:rsid w:val="004C0FDA"/>
    <w:rsid w:val="004C2EE5"/>
    <w:rsid w:val="004C2FEE"/>
    <w:rsid w:val="004C3DDE"/>
    <w:rsid w:val="004C4AE8"/>
    <w:rsid w:val="004C4B4E"/>
    <w:rsid w:val="004C529F"/>
    <w:rsid w:val="004C58B1"/>
    <w:rsid w:val="004C61CA"/>
    <w:rsid w:val="004C66EB"/>
    <w:rsid w:val="004C6717"/>
    <w:rsid w:val="004D0046"/>
    <w:rsid w:val="004D035B"/>
    <w:rsid w:val="004D120C"/>
    <w:rsid w:val="004D1314"/>
    <w:rsid w:val="004D17EF"/>
    <w:rsid w:val="004D19FB"/>
    <w:rsid w:val="004D288B"/>
    <w:rsid w:val="004D2A00"/>
    <w:rsid w:val="004D4274"/>
    <w:rsid w:val="004D4899"/>
    <w:rsid w:val="004D527B"/>
    <w:rsid w:val="004D55A8"/>
    <w:rsid w:val="004D5646"/>
    <w:rsid w:val="004D6A5C"/>
    <w:rsid w:val="004D6AE5"/>
    <w:rsid w:val="004D6E04"/>
    <w:rsid w:val="004D7FCE"/>
    <w:rsid w:val="004E005B"/>
    <w:rsid w:val="004E010E"/>
    <w:rsid w:val="004E18A8"/>
    <w:rsid w:val="004E2353"/>
    <w:rsid w:val="004E2446"/>
    <w:rsid w:val="004E2760"/>
    <w:rsid w:val="004E2DCF"/>
    <w:rsid w:val="004E2E2D"/>
    <w:rsid w:val="004E391C"/>
    <w:rsid w:val="004E4C6C"/>
    <w:rsid w:val="004E6F11"/>
    <w:rsid w:val="004E77F3"/>
    <w:rsid w:val="004F048F"/>
    <w:rsid w:val="004F05FD"/>
    <w:rsid w:val="004F078F"/>
    <w:rsid w:val="004F1BF3"/>
    <w:rsid w:val="004F5974"/>
    <w:rsid w:val="004F6271"/>
    <w:rsid w:val="004F652A"/>
    <w:rsid w:val="004F7BC7"/>
    <w:rsid w:val="00500866"/>
    <w:rsid w:val="00502079"/>
    <w:rsid w:val="00503A49"/>
    <w:rsid w:val="00505979"/>
    <w:rsid w:val="00505C68"/>
    <w:rsid w:val="00507609"/>
    <w:rsid w:val="0050779B"/>
    <w:rsid w:val="00507B87"/>
    <w:rsid w:val="005101A3"/>
    <w:rsid w:val="00511406"/>
    <w:rsid w:val="00511802"/>
    <w:rsid w:val="00511D97"/>
    <w:rsid w:val="00512FCF"/>
    <w:rsid w:val="00513952"/>
    <w:rsid w:val="00513A01"/>
    <w:rsid w:val="00514EA2"/>
    <w:rsid w:val="00515CC9"/>
    <w:rsid w:val="0051792D"/>
    <w:rsid w:val="00520462"/>
    <w:rsid w:val="00521066"/>
    <w:rsid w:val="0052143C"/>
    <w:rsid w:val="0052180F"/>
    <w:rsid w:val="00521912"/>
    <w:rsid w:val="0052258B"/>
    <w:rsid w:val="0052425C"/>
    <w:rsid w:val="00524C55"/>
    <w:rsid w:val="0052540D"/>
    <w:rsid w:val="0053085F"/>
    <w:rsid w:val="00531503"/>
    <w:rsid w:val="00531936"/>
    <w:rsid w:val="0053197C"/>
    <w:rsid w:val="00532106"/>
    <w:rsid w:val="0053240B"/>
    <w:rsid w:val="00532509"/>
    <w:rsid w:val="00532594"/>
    <w:rsid w:val="00533326"/>
    <w:rsid w:val="00533F93"/>
    <w:rsid w:val="005341D8"/>
    <w:rsid w:val="00534625"/>
    <w:rsid w:val="005352BD"/>
    <w:rsid w:val="00535D6B"/>
    <w:rsid w:val="0053668C"/>
    <w:rsid w:val="00536D52"/>
    <w:rsid w:val="0053712A"/>
    <w:rsid w:val="0054107B"/>
    <w:rsid w:val="00541371"/>
    <w:rsid w:val="005416FC"/>
    <w:rsid w:val="005425AF"/>
    <w:rsid w:val="00542BAC"/>
    <w:rsid w:val="00543566"/>
    <w:rsid w:val="005441DC"/>
    <w:rsid w:val="005444A1"/>
    <w:rsid w:val="00545E6B"/>
    <w:rsid w:val="005464A0"/>
    <w:rsid w:val="00547519"/>
    <w:rsid w:val="00551A2F"/>
    <w:rsid w:val="00551AFE"/>
    <w:rsid w:val="00552883"/>
    <w:rsid w:val="0055359D"/>
    <w:rsid w:val="00553686"/>
    <w:rsid w:val="00553DC6"/>
    <w:rsid w:val="00553F56"/>
    <w:rsid w:val="00554616"/>
    <w:rsid w:val="00555FF0"/>
    <w:rsid w:val="00556A8F"/>
    <w:rsid w:val="0056067B"/>
    <w:rsid w:val="0056079E"/>
    <w:rsid w:val="00560BE9"/>
    <w:rsid w:val="00560F04"/>
    <w:rsid w:val="00561702"/>
    <w:rsid w:val="0056298C"/>
    <w:rsid w:val="00562D03"/>
    <w:rsid w:val="00562F46"/>
    <w:rsid w:val="0056343B"/>
    <w:rsid w:val="00563F43"/>
    <w:rsid w:val="00564122"/>
    <w:rsid w:val="00564EB4"/>
    <w:rsid w:val="00565343"/>
    <w:rsid w:val="00565532"/>
    <w:rsid w:val="00566871"/>
    <w:rsid w:val="00566F39"/>
    <w:rsid w:val="00567497"/>
    <w:rsid w:val="00567848"/>
    <w:rsid w:val="00570A46"/>
    <w:rsid w:val="00571C0E"/>
    <w:rsid w:val="00572F5B"/>
    <w:rsid w:val="00574F51"/>
    <w:rsid w:val="005755E8"/>
    <w:rsid w:val="005757C1"/>
    <w:rsid w:val="00575A12"/>
    <w:rsid w:val="00577DB5"/>
    <w:rsid w:val="0058051B"/>
    <w:rsid w:val="0058252E"/>
    <w:rsid w:val="00582652"/>
    <w:rsid w:val="00582EC9"/>
    <w:rsid w:val="00583E60"/>
    <w:rsid w:val="005846E5"/>
    <w:rsid w:val="005860AC"/>
    <w:rsid w:val="00586EB0"/>
    <w:rsid w:val="00587859"/>
    <w:rsid w:val="00587D6C"/>
    <w:rsid w:val="00590295"/>
    <w:rsid w:val="00590314"/>
    <w:rsid w:val="00590A96"/>
    <w:rsid w:val="00591FAF"/>
    <w:rsid w:val="00593386"/>
    <w:rsid w:val="0059437E"/>
    <w:rsid w:val="0059451F"/>
    <w:rsid w:val="005945CA"/>
    <w:rsid w:val="00595191"/>
    <w:rsid w:val="005959ED"/>
    <w:rsid w:val="00596376"/>
    <w:rsid w:val="00596746"/>
    <w:rsid w:val="00596B1A"/>
    <w:rsid w:val="0059794F"/>
    <w:rsid w:val="00597B2E"/>
    <w:rsid w:val="005A1B15"/>
    <w:rsid w:val="005A1D40"/>
    <w:rsid w:val="005A1F7E"/>
    <w:rsid w:val="005A30CC"/>
    <w:rsid w:val="005A32D1"/>
    <w:rsid w:val="005A344C"/>
    <w:rsid w:val="005A3A75"/>
    <w:rsid w:val="005A3C47"/>
    <w:rsid w:val="005A3D05"/>
    <w:rsid w:val="005A3F8F"/>
    <w:rsid w:val="005A4907"/>
    <w:rsid w:val="005A5673"/>
    <w:rsid w:val="005A5A8D"/>
    <w:rsid w:val="005A5DC6"/>
    <w:rsid w:val="005A5FBE"/>
    <w:rsid w:val="005B0C30"/>
    <w:rsid w:val="005B0EA3"/>
    <w:rsid w:val="005B12D1"/>
    <w:rsid w:val="005B1507"/>
    <w:rsid w:val="005B1539"/>
    <w:rsid w:val="005B1CA2"/>
    <w:rsid w:val="005B26DD"/>
    <w:rsid w:val="005B3369"/>
    <w:rsid w:val="005B4514"/>
    <w:rsid w:val="005B467E"/>
    <w:rsid w:val="005B4722"/>
    <w:rsid w:val="005B5142"/>
    <w:rsid w:val="005B558C"/>
    <w:rsid w:val="005B5F58"/>
    <w:rsid w:val="005B6352"/>
    <w:rsid w:val="005B6408"/>
    <w:rsid w:val="005B697D"/>
    <w:rsid w:val="005C0254"/>
    <w:rsid w:val="005C0AD0"/>
    <w:rsid w:val="005C11CD"/>
    <w:rsid w:val="005C156A"/>
    <w:rsid w:val="005C3004"/>
    <w:rsid w:val="005C34B0"/>
    <w:rsid w:val="005C4142"/>
    <w:rsid w:val="005C457C"/>
    <w:rsid w:val="005C49A1"/>
    <w:rsid w:val="005C5930"/>
    <w:rsid w:val="005C65D2"/>
    <w:rsid w:val="005C689B"/>
    <w:rsid w:val="005C71E9"/>
    <w:rsid w:val="005C723E"/>
    <w:rsid w:val="005D0804"/>
    <w:rsid w:val="005D12B1"/>
    <w:rsid w:val="005D17DB"/>
    <w:rsid w:val="005D242B"/>
    <w:rsid w:val="005D4400"/>
    <w:rsid w:val="005D5B13"/>
    <w:rsid w:val="005D65A1"/>
    <w:rsid w:val="005D7891"/>
    <w:rsid w:val="005E01F1"/>
    <w:rsid w:val="005E06CA"/>
    <w:rsid w:val="005E1CB3"/>
    <w:rsid w:val="005E2290"/>
    <w:rsid w:val="005E2508"/>
    <w:rsid w:val="005E451E"/>
    <w:rsid w:val="005E4576"/>
    <w:rsid w:val="005E4D41"/>
    <w:rsid w:val="005E5976"/>
    <w:rsid w:val="005E5A65"/>
    <w:rsid w:val="005E5FB1"/>
    <w:rsid w:val="005E6B6B"/>
    <w:rsid w:val="005E6E9D"/>
    <w:rsid w:val="005F0BA9"/>
    <w:rsid w:val="005F0C8B"/>
    <w:rsid w:val="005F0CA2"/>
    <w:rsid w:val="005F3C8F"/>
    <w:rsid w:val="005F3DEE"/>
    <w:rsid w:val="005F3E34"/>
    <w:rsid w:val="005F432D"/>
    <w:rsid w:val="005F4F83"/>
    <w:rsid w:val="005F52EA"/>
    <w:rsid w:val="005F591B"/>
    <w:rsid w:val="005F60FD"/>
    <w:rsid w:val="005F68DD"/>
    <w:rsid w:val="005F6F4E"/>
    <w:rsid w:val="005F7575"/>
    <w:rsid w:val="005F77C9"/>
    <w:rsid w:val="005F7B61"/>
    <w:rsid w:val="006001B4"/>
    <w:rsid w:val="00600DCC"/>
    <w:rsid w:val="00601564"/>
    <w:rsid w:val="006020A9"/>
    <w:rsid w:val="00602AA7"/>
    <w:rsid w:val="00603B6C"/>
    <w:rsid w:val="0060436B"/>
    <w:rsid w:val="00606307"/>
    <w:rsid w:val="006069AD"/>
    <w:rsid w:val="00607163"/>
    <w:rsid w:val="006104B3"/>
    <w:rsid w:val="00610C99"/>
    <w:rsid w:val="006113FE"/>
    <w:rsid w:val="00611924"/>
    <w:rsid w:val="00611994"/>
    <w:rsid w:val="00612029"/>
    <w:rsid w:val="006121D8"/>
    <w:rsid w:val="00612898"/>
    <w:rsid w:val="0061323F"/>
    <w:rsid w:val="00613764"/>
    <w:rsid w:val="00613996"/>
    <w:rsid w:val="00613C8C"/>
    <w:rsid w:val="00615974"/>
    <w:rsid w:val="00616402"/>
    <w:rsid w:val="006166EF"/>
    <w:rsid w:val="006171D5"/>
    <w:rsid w:val="006178AE"/>
    <w:rsid w:val="00620E08"/>
    <w:rsid w:val="006214ED"/>
    <w:rsid w:val="006227A0"/>
    <w:rsid w:val="00622B20"/>
    <w:rsid w:val="00623A70"/>
    <w:rsid w:val="006245CC"/>
    <w:rsid w:val="00627AA2"/>
    <w:rsid w:val="00630A63"/>
    <w:rsid w:val="0063158F"/>
    <w:rsid w:val="00631D01"/>
    <w:rsid w:val="00633877"/>
    <w:rsid w:val="00634A91"/>
    <w:rsid w:val="0063511F"/>
    <w:rsid w:val="0063597D"/>
    <w:rsid w:val="00635DEB"/>
    <w:rsid w:val="00635ED5"/>
    <w:rsid w:val="00636729"/>
    <w:rsid w:val="00637157"/>
    <w:rsid w:val="006376B0"/>
    <w:rsid w:val="00640487"/>
    <w:rsid w:val="00640C99"/>
    <w:rsid w:val="00641228"/>
    <w:rsid w:val="00641AF7"/>
    <w:rsid w:val="006428BC"/>
    <w:rsid w:val="00642ACF"/>
    <w:rsid w:val="00643D0C"/>
    <w:rsid w:val="006442BE"/>
    <w:rsid w:val="00646600"/>
    <w:rsid w:val="00646959"/>
    <w:rsid w:val="00646A30"/>
    <w:rsid w:val="006504B9"/>
    <w:rsid w:val="00650509"/>
    <w:rsid w:val="00651FC7"/>
    <w:rsid w:val="0065204E"/>
    <w:rsid w:val="0065223E"/>
    <w:rsid w:val="006523DD"/>
    <w:rsid w:val="006524D3"/>
    <w:rsid w:val="006532E3"/>
    <w:rsid w:val="00653A96"/>
    <w:rsid w:val="00653FD3"/>
    <w:rsid w:val="0065442F"/>
    <w:rsid w:val="0065532C"/>
    <w:rsid w:val="00656E96"/>
    <w:rsid w:val="00657A59"/>
    <w:rsid w:val="00660044"/>
    <w:rsid w:val="00661087"/>
    <w:rsid w:val="006624A2"/>
    <w:rsid w:val="00662806"/>
    <w:rsid w:val="006637B6"/>
    <w:rsid w:val="00664E76"/>
    <w:rsid w:val="0066512A"/>
    <w:rsid w:val="006660B2"/>
    <w:rsid w:val="0066641F"/>
    <w:rsid w:val="00666D86"/>
    <w:rsid w:val="00667011"/>
    <w:rsid w:val="00667CC2"/>
    <w:rsid w:val="00667FF6"/>
    <w:rsid w:val="006706BE"/>
    <w:rsid w:val="0067160E"/>
    <w:rsid w:val="00671E31"/>
    <w:rsid w:val="00673069"/>
    <w:rsid w:val="00673534"/>
    <w:rsid w:val="00673D9E"/>
    <w:rsid w:val="006742DD"/>
    <w:rsid w:val="0067539B"/>
    <w:rsid w:val="00676CC1"/>
    <w:rsid w:val="00677659"/>
    <w:rsid w:val="00677C05"/>
    <w:rsid w:val="0068002D"/>
    <w:rsid w:val="0068073A"/>
    <w:rsid w:val="00680795"/>
    <w:rsid w:val="0068166D"/>
    <w:rsid w:val="006829E4"/>
    <w:rsid w:val="00682BDF"/>
    <w:rsid w:val="006838A2"/>
    <w:rsid w:val="006848DC"/>
    <w:rsid w:val="00684998"/>
    <w:rsid w:val="006850B8"/>
    <w:rsid w:val="0068513F"/>
    <w:rsid w:val="0068570D"/>
    <w:rsid w:val="006857B6"/>
    <w:rsid w:val="006857F1"/>
    <w:rsid w:val="00685D96"/>
    <w:rsid w:val="00687A2D"/>
    <w:rsid w:val="00687F10"/>
    <w:rsid w:val="00690E83"/>
    <w:rsid w:val="00691317"/>
    <w:rsid w:val="006913A4"/>
    <w:rsid w:val="00691626"/>
    <w:rsid w:val="0069206F"/>
    <w:rsid w:val="006927B2"/>
    <w:rsid w:val="00696E57"/>
    <w:rsid w:val="00697215"/>
    <w:rsid w:val="006A036F"/>
    <w:rsid w:val="006A1803"/>
    <w:rsid w:val="006A2037"/>
    <w:rsid w:val="006A3835"/>
    <w:rsid w:val="006A4376"/>
    <w:rsid w:val="006A4B59"/>
    <w:rsid w:val="006A6598"/>
    <w:rsid w:val="006B0F37"/>
    <w:rsid w:val="006B11BC"/>
    <w:rsid w:val="006B148A"/>
    <w:rsid w:val="006B267D"/>
    <w:rsid w:val="006B2684"/>
    <w:rsid w:val="006B2889"/>
    <w:rsid w:val="006B32A8"/>
    <w:rsid w:val="006B3EAB"/>
    <w:rsid w:val="006B4462"/>
    <w:rsid w:val="006B4623"/>
    <w:rsid w:val="006B4B2E"/>
    <w:rsid w:val="006B5A63"/>
    <w:rsid w:val="006B64AF"/>
    <w:rsid w:val="006B66CE"/>
    <w:rsid w:val="006C0A4A"/>
    <w:rsid w:val="006C0E3B"/>
    <w:rsid w:val="006C1019"/>
    <w:rsid w:val="006C141D"/>
    <w:rsid w:val="006C21C6"/>
    <w:rsid w:val="006C23EB"/>
    <w:rsid w:val="006C2517"/>
    <w:rsid w:val="006C2C5D"/>
    <w:rsid w:val="006C2DD7"/>
    <w:rsid w:val="006C3415"/>
    <w:rsid w:val="006C3A1A"/>
    <w:rsid w:val="006C4763"/>
    <w:rsid w:val="006C479C"/>
    <w:rsid w:val="006C4F59"/>
    <w:rsid w:val="006C59BF"/>
    <w:rsid w:val="006C6753"/>
    <w:rsid w:val="006C6DA2"/>
    <w:rsid w:val="006D015B"/>
    <w:rsid w:val="006D0248"/>
    <w:rsid w:val="006D06F8"/>
    <w:rsid w:val="006D0918"/>
    <w:rsid w:val="006D1A10"/>
    <w:rsid w:val="006D339D"/>
    <w:rsid w:val="006D3697"/>
    <w:rsid w:val="006D3C7E"/>
    <w:rsid w:val="006D3F0E"/>
    <w:rsid w:val="006D4AC5"/>
    <w:rsid w:val="006D5001"/>
    <w:rsid w:val="006D537D"/>
    <w:rsid w:val="006D53F8"/>
    <w:rsid w:val="006D607E"/>
    <w:rsid w:val="006D68B8"/>
    <w:rsid w:val="006D721E"/>
    <w:rsid w:val="006D7B33"/>
    <w:rsid w:val="006D7EF9"/>
    <w:rsid w:val="006E1811"/>
    <w:rsid w:val="006E1AB1"/>
    <w:rsid w:val="006E2B4E"/>
    <w:rsid w:val="006E2D05"/>
    <w:rsid w:val="006E32DD"/>
    <w:rsid w:val="006E39A0"/>
    <w:rsid w:val="006E3E5C"/>
    <w:rsid w:val="006E55DF"/>
    <w:rsid w:val="006E59CB"/>
    <w:rsid w:val="006E69E1"/>
    <w:rsid w:val="006E7CEA"/>
    <w:rsid w:val="006E7FBA"/>
    <w:rsid w:val="006F1619"/>
    <w:rsid w:val="006F166F"/>
    <w:rsid w:val="006F2FFC"/>
    <w:rsid w:val="006F3218"/>
    <w:rsid w:val="006F401B"/>
    <w:rsid w:val="006F4698"/>
    <w:rsid w:val="006F7B6B"/>
    <w:rsid w:val="006F7E05"/>
    <w:rsid w:val="00700DC7"/>
    <w:rsid w:val="007014A9"/>
    <w:rsid w:val="00702A51"/>
    <w:rsid w:val="0070463A"/>
    <w:rsid w:val="007046F7"/>
    <w:rsid w:val="007049CB"/>
    <w:rsid w:val="00705569"/>
    <w:rsid w:val="007066CF"/>
    <w:rsid w:val="0070695B"/>
    <w:rsid w:val="007069A8"/>
    <w:rsid w:val="00710967"/>
    <w:rsid w:val="00710C9D"/>
    <w:rsid w:val="007128A3"/>
    <w:rsid w:val="0071322C"/>
    <w:rsid w:val="00713468"/>
    <w:rsid w:val="00713E88"/>
    <w:rsid w:val="0071412F"/>
    <w:rsid w:val="00714794"/>
    <w:rsid w:val="00714D8D"/>
    <w:rsid w:val="00715E52"/>
    <w:rsid w:val="00721EF4"/>
    <w:rsid w:val="007226DA"/>
    <w:rsid w:val="0072438E"/>
    <w:rsid w:val="00724550"/>
    <w:rsid w:val="0072648D"/>
    <w:rsid w:val="00727261"/>
    <w:rsid w:val="00727A49"/>
    <w:rsid w:val="00727D23"/>
    <w:rsid w:val="00730040"/>
    <w:rsid w:val="00732BE6"/>
    <w:rsid w:val="00733BF2"/>
    <w:rsid w:val="00734CAF"/>
    <w:rsid w:val="0073543F"/>
    <w:rsid w:val="00735502"/>
    <w:rsid w:val="00736E46"/>
    <w:rsid w:val="00736FB9"/>
    <w:rsid w:val="00737D3D"/>
    <w:rsid w:val="00740C32"/>
    <w:rsid w:val="007412DA"/>
    <w:rsid w:val="00741ED4"/>
    <w:rsid w:val="00742212"/>
    <w:rsid w:val="00742438"/>
    <w:rsid w:val="00742CAE"/>
    <w:rsid w:val="00743125"/>
    <w:rsid w:val="00743203"/>
    <w:rsid w:val="0074373E"/>
    <w:rsid w:val="007446C1"/>
    <w:rsid w:val="0074507C"/>
    <w:rsid w:val="00746475"/>
    <w:rsid w:val="0074648C"/>
    <w:rsid w:val="0074669D"/>
    <w:rsid w:val="007473EF"/>
    <w:rsid w:val="00747D0E"/>
    <w:rsid w:val="00752A5C"/>
    <w:rsid w:val="00752B4F"/>
    <w:rsid w:val="0075360D"/>
    <w:rsid w:val="00753EEB"/>
    <w:rsid w:val="007542A0"/>
    <w:rsid w:val="0075474A"/>
    <w:rsid w:val="0075482E"/>
    <w:rsid w:val="00755473"/>
    <w:rsid w:val="0075598B"/>
    <w:rsid w:val="00756309"/>
    <w:rsid w:val="0075643B"/>
    <w:rsid w:val="00756575"/>
    <w:rsid w:val="0075708C"/>
    <w:rsid w:val="00757366"/>
    <w:rsid w:val="00757641"/>
    <w:rsid w:val="00757C76"/>
    <w:rsid w:val="00761EBA"/>
    <w:rsid w:val="00762A20"/>
    <w:rsid w:val="00762D89"/>
    <w:rsid w:val="00763066"/>
    <w:rsid w:val="00763B25"/>
    <w:rsid w:val="007647BC"/>
    <w:rsid w:val="00764D2E"/>
    <w:rsid w:val="00766204"/>
    <w:rsid w:val="007663C6"/>
    <w:rsid w:val="0076681C"/>
    <w:rsid w:val="00766AA5"/>
    <w:rsid w:val="00767538"/>
    <w:rsid w:val="00767C13"/>
    <w:rsid w:val="0077213D"/>
    <w:rsid w:val="00773575"/>
    <w:rsid w:val="0077451B"/>
    <w:rsid w:val="0077453A"/>
    <w:rsid w:val="00774DE0"/>
    <w:rsid w:val="0077615A"/>
    <w:rsid w:val="007768D4"/>
    <w:rsid w:val="00777B2D"/>
    <w:rsid w:val="00777CA6"/>
    <w:rsid w:val="007802C9"/>
    <w:rsid w:val="007805E7"/>
    <w:rsid w:val="0078083E"/>
    <w:rsid w:val="00780BBB"/>
    <w:rsid w:val="00780F3E"/>
    <w:rsid w:val="007816A8"/>
    <w:rsid w:val="007820F2"/>
    <w:rsid w:val="007821ED"/>
    <w:rsid w:val="00782477"/>
    <w:rsid w:val="00782625"/>
    <w:rsid w:val="00782D3A"/>
    <w:rsid w:val="00784766"/>
    <w:rsid w:val="00784B38"/>
    <w:rsid w:val="007861C9"/>
    <w:rsid w:val="00787818"/>
    <w:rsid w:val="00787BEE"/>
    <w:rsid w:val="0079007C"/>
    <w:rsid w:val="0079065F"/>
    <w:rsid w:val="00790AC2"/>
    <w:rsid w:val="00791F0B"/>
    <w:rsid w:val="00792565"/>
    <w:rsid w:val="00792C92"/>
    <w:rsid w:val="0079395D"/>
    <w:rsid w:val="00793F46"/>
    <w:rsid w:val="00794485"/>
    <w:rsid w:val="007965CB"/>
    <w:rsid w:val="0079679D"/>
    <w:rsid w:val="007969E7"/>
    <w:rsid w:val="00796C0C"/>
    <w:rsid w:val="0079724A"/>
    <w:rsid w:val="00797762"/>
    <w:rsid w:val="00797B08"/>
    <w:rsid w:val="00797D63"/>
    <w:rsid w:val="00797E1B"/>
    <w:rsid w:val="007A0154"/>
    <w:rsid w:val="007A089F"/>
    <w:rsid w:val="007A1054"/>
    <w:rsid w:val="007A1CE1"/>
    <w:rsid w:val="007A26CD"/>
    <w:rsid w:val="007A3E86"/>
    <w:rsid w:val="007A4035"/>
    <w:rsid w:val="007A458D"/>
    <w:rsid w:val="007A5022"/>
    <w:rsid w:val="007A679B"/>
    <w:rsid w:val="007B01F8"/>
    <w:rsid w:val="007B179D"/>
    <w:rsid w:val="007B2D83"/>
    <w:rsid w:val="007B3435"/>
    <w:rsid w:val="007B35A2"/>
    <w:rsid w:val="007B365C"/>
    <w:rsid w:val="007B3727"/>
    <w:rsid w:val="007B388E"/>
    <w:rsid w:val="007B3C43"/>
    <w:rsid w:val="007B3D34"/>
    <w:rsid w:val="007B44E1"/>
    <w:rsid w:val="007B583E"/>
    <w:rsid w:val="007B58E6"/>
    <w:rsid w:val="007B726E"/>
    <w:rsid w:val="007B7803"/>
    <w:rsid w:val="007B7923"/>
    <w:rsid w:val="007B7E62"/>
    <w:rsid w:val="007C1609"/>
    <w:rsid w:val="007C1D03"/>
    <w:rsid w:val="007C2857"/>
    <w:rsid w:val="007D1760"/>
    <w:rsid w:val="007D249E"/>
    <w:rsid w:val="007D29D9"/>
    <w:rsid w:val="007D384C"/>
    <w:rsid w:val="007D4316"/>
    <w:rsid w:val="007D4447"/>
    <w:rsid w:val="007D45E5"/>
    <w:rsid w:val="007D57FC"/>
    <w:rsid w:val="007D5EF0"/>
    <w:rsid w:val="007D6149"/>
    <w:rsid w:val="007D6C6D"/>
    <w:rsid w:val="007D6CEB"/>
    <w:rsid w:val="007D70BD"/>
    <w:rsid w:val="007D7671"/>
    <w:rsid w:val="007D7940"/>
    <w:rsid w:val="007E038B"/>
    <w:rsid w:val="007E10E1"/>
    <w:rsid w:val="007E397F"/>
    <w:rsid w:val="007E4AE1"/>
    <w:rsid w:val="007E4E33"/>
    <w:rsid w:val="007E4EE3"/>
    <w:rsid w:val="007E5C31"/>
    <w:rsid w:val="007F1770"/>
    <w:rsid w:val="007F1882"/>
    <w:rsid w:val="007F2CE9"/>
    <w:rsid w:val="007F476C"/>
    <w:rsid w:val="007F4E37"/>
    <w:rsid w:val="007F4FBB"/>
    <w:rsid w:val="007F55F1"/>
    <w:rsid w:val="007F5A7F"/>
    <w:rsid w:val="007F7CDC"/>
    <w:rsid w:val="007F7DFA"/>
    <w:rsid w:val="0080003C"/>
    <w:rsid w:val="008000B9"/>
    <w:rsid w:val="008004DD"/>
    <w:rsid w:val="00801D5F"/>
    <w:rsid w:val="008030FC"/>
    <w:rsid w:val="008038DA"/>
    <w:rsid w:val="00803B09"/>
    <w:rsid w:val="00804961"/>
    <w:rsid w:val="00804C95"/>
    <w:rsid w:val="00804E16"/>
    <w:rsid w:val="0080533C"/>
    <w:rsid w:val="008058A8"/>
    <w:rsid w:val="00810656"/>
    <w:rsid w:val="008107F9"/>
    <w:rsid w:val="00810D17"/>
    <w:rsid w:val="00810F26"/>
    <w:rsid w:val="00810FE0"/>
    <w:rsid w:val="0081130A"/>
    <w:rsid w:val="00811ADE"/>
    <w:rsid w:val="00811CEF"/>
    <w:rsid w:val="00811DBE"/>
    <w:rsid w:val="0081379F"/>
    <w:rsid w:val="00813D37"/>
    <w:rsid w:val="0081477C"/>
    <w:rsid w:val="00814B38"/>
    <w:rsid w:val="00816012"/>
    <w:rsid w:val="008217CC"/>
    <w:rsid w:val="0082219C"/>
    <w:rsid w:val="0082233A"/>
    <w:rsid w:val="00822394"/>
    <w:rsid w:val="00822C94"/>
    <w:rsid w:val="008232D0"/>
    <w:rsid w:val="00823C6D"/>
    <w:rsid w:val="00823FD2"/>
    <w:rsid w:val="00824A47"/>
    <w:rsid w:val="008258AA"/>
    <w:rsid w:val="0082649F"/>
    <w:rsid w:val="00827066"/>
    <w:rsid w:val="008275AA"/>
    <w:rsid w:val="008310C6"/>
    <w:rsid w:val="00831761"/>
    <w:rsid w:val="00831918"/>
    <w:rsid w:val="00832619"/>
    <w:rsid w:val="00834120"/>
    <w:rsid w:val="0083493A"/>
    <w:rsid w:val="0083669B"/>
    <w:rsid w:val="0083674E"/>
    <w:rsid w:val="00836843"/>
    <w:rsid w:val="008369D4"/>
    <w:rsid w:val="00837824"/>
    <w:rsid w:val="00840EE6"/>
    <w:rsid w:val="0084221B"/>
    <w:rsid w:val="0084222B"/>
    <w:rsid w:val="0084227A"/>
    <w:rsid w:val="008425CA"/>
    <w:rsid w:val="00845433"/>
    <w:rsid w:val="0084628F"/>
    <w:rsid w:val="0084645F"/>
    <w:rsid w:val="00846C62"/>
    <w:rsid w:val="00846EE9"/>
    <w:rsid w:val="00847784"/>
    <w:rsid w:val="00850583"/>
    <w:rsid w:val="0085153C"/>
    <w:rsid w:val="00851D27"/>
    <w:rsid w:val="00853470"/>
    <w:rsid w:val="00854625"/>
    <w:rsid w:val="00854C4C"/>
    <w:rsid w:val="00855619"/>
    <w:rsid w:val="008560C5"/>
    <w:rsid w:val="00857363"/>
    <w:rsid w:val="0085771A"/>
    <w:rsid w:val="008600B2"/>
    <w:rsid w:val="008631B1"/>
    <w:rsid w:val="0086618D"/>
    <w:rsid w:val="008662D0"/>
    <w:rsid w:val="00867571"/>
    <w:rsid w:val="0087059B"/>
    <w:rsid w:val="00870603"/>
    <w:rsid w:val="00870C8F"/>
    <w:rsid w:val="0087154F"/>
    <w:rsid w:val="00871FA7"/>
    <w:rsid w:val="00872599"/>
    <w:rsid w:val="00872BAB"/>
    <w:rsid w:val="00872CBC"/>
    <w:rsid w:val="00873252"/>
    <w:rsid w:val="0087348D"/>
    <w:rsid w:val="00873530"/>
    <w:rsid w:val="0087386B"/>
    <w:rsid w:val="0087474A"/>
    <w:rsid w:val="00874B33"/>
    <w:rsid w:val="008759FE"/>
    <w:rsid w:val="00876A04"/>
    <w:rsid w:val="008771A1"/>
    <w:rsid w:val="00877BD0"/>
    <w:rsid w:val="00877DBA"/>
    <w:rsid w:val="00880101"/>
    <w:rsid w:val="00880BC7"/>
    <w:rsid w:val="00880E06"/>
    <w:rsid w:val="00882831"/>
    <w:rsid w:val="00883CAA"/>
    <w:rsid w:val="00884099"/>
    <w:rsid w:val="00884CDE"/>
    <w:rsid w:val="00885190"/>
    <w:rsid w:val="008856DB"/>
    <w:rsid w:val="0088573D"/>
    <w:rsid w:val="008859F2"/>
    <w:rsid w:val="0088656F"/>
    <w:rsid w:val="008865C4"/>
    <w:rsid w:val="00886ADB"/>
    <w:rsid w:val="00887E31"/>
    <w:rsid w:val="00891982"/>
    <w:rsid w:val="008927B2"/>
    <w:rsid w:val="00892B63"/>
    <w:rsid w:val="0089341B"/>
    <w:rsid w:val="00893647"/>
    <w:rsid w:val="00893818"/>
    <w:rsid w:val="00893C35"/>
    <w:rsid w:val="00894743"/>
    <w:rsid w:val="00894D41"/>
    <w:rsid w:val="00895312"/>
    <w:rsid w:val="008964D3"/>
    <w:rsid w:val="00896D02"/>
    <w:rsid w:val="008A079F"/>
    <w:rsid w:val="008A0CD4"/>
    <w:rsid w:val="008A19B6"/>
    <w:rsid w:val="008A1CB9"/>
    <w:rsid w:val="008A1EE7"/>
    <w:rsid w:val="008A2949"/>
    <w:rsid w:val="008A33BE"/>
    <w:rsid w:val="008A37FA"/>
    <w:rsid w:val="008A4A22"/>
    <w:rsid w:val="008A5E54"/>
    <w:rsid w:val="008A766E"/>
    <w:rsid w:val="008A7912"/>
    <w:rsid w:val="008B031F"/>
    <w:rsid w:val="008B034C"/>
    <w:rsid w:val="008B06BA"/>
    <w:rsid w:val="008B0E8D"/>
    <w:rsid w:val="008B2296"/>
    <w:rsid w:val="008B3603"/>
    <w:rsid w:val="008B509B"/>
    <w:rsid w:val="008B578B"/>
    <w:rsid w:val="008B5A45"/>
    <w:rsid w:val="008B667F"/>
    <w:rsid w:val="008B6A11"/>
    <w:rsid w:val="008B6C67"/>
    <w:rsid w:val="008B7124"/>
    <w:rsid w:val="008B7664"/>
    <w:rsid w:val="008C0B62"/>
    <w:rsid w:val="008C0E24"/>
    <w:rsid w:val="008C2454"/>
    <w:rsid w:val="008C310C"/>
    <w:rsid w:val="008C46E5"/>
    <w:rsid w:val="008C6E70"/>
    <w:rsid w:val="008C7522"/>
    <w:rsid w:val="008C75E0"/>
    <w:rsid w:val="008C7747"/>
    <w:rsid w:val="008D0779"/>
    <w:rsid w:val="008D089C"/>
    <w:rsid w:val="008D1AEC"/>
    <w:rsid w:val="008D2E9F"/>
    <w:rsid w:val="008D2F65"/>
    <w:rsid w:val="008D31BD"/>
    <w:rsid w:val="008D4B9D"/>
    <w:rsid w:val="008D4DEC"/>
    <w:rsid w:val="008D551B"/>
    <w:rsid w:val="008D650A"/>
    <w:rsid w:val="008D66E9"/>
    <w:rsid w:val="008D6BB7"/>
    <w:rsid w:val="008D76D4"/>
    <w:rsid w:val="008D79F5"/>
    <w:rsid w:val="008E1218"/>
    <w:rsid w:val="008E1CDE"/>
    <w:rsid w:val="008E2404"/>
    <w:rsid w:val="008E2470"/>
    <w:rsid w:val="008E557F"/>
    <w:rsid w:val="008E5C2B"/>
    <w:rsid w:val="008E7B74"/>
    <w:rsid w:val="008F0049"/>
    <w:rsid w:val="008F0990"/>
    <w:rsid w:val="008F0A7C"/>
    <w:rsid w:val="008F0D40"/>
    <w:rsid w:val="008F0FF4"/>
    <w:rsid w:val="008F32A9"/>
    <w:rsid w:val="008F3793"/>
    <w:rsid w:val="008F434C"/>
    <w:rsid w:val="008F476A"/>
    <w:rsid w:val="008F4BA3"/>
    <w:rsid w:val="008F4CF0"/>
    <w:rsid w:val="008F7868"/>
    <w:rsid w:val="00901453"/>
    <w:rsid w:val="00901A3B"/>
    <w:rsid w:val="00901C3A"/>
    <w:rsid w:val="009020B8"/>
    <w:rsid w:val="009021C7"/>
    <w:rsid w:val="00902863"/>
    <w:rsid w:val="00903385"/>
    <w:rsid w:val="00903BB7"/>
    <w:rsid w:val="00905B7E"/>
    <w:rsid w:val="00906101"/>
    <w:rsid w:val="00906169"/>
    <w:rsid w:val="00906870"/>
    <w:rsid w:val="00907572"/>
    <w:rsid w:val="00907F74"/>
    <w:rsid w:val="0091088B"/>
    <w:rsid w:val="00910A94"/>
    <w:rsid w:val="00910FA7"/>
    <w:rsid w:val="00912010"/>
    <w:rsid w:val="00912E3C"/>
    <w:rsid w:val="00913A50"/>
    <w:rsid w:val="00913FD0"/>
    <w:rsid w:val="00914124"/>
    <w:rsid w:val="00916B3A"/>
    <w:rsid w:val="0091727D"/>
    <w:rsid w:val="009172C9"/>
    <w:rsid w:val="00917397"/>
    <w:rsid w:val="00920FD9"/>
    <w:rsid w:val="00921B56"/>
    <w:rsid w:val="0092212C"/>
    <w:rsid w:val="009222A0"/>
    <w:rsid w:val="00922C37"/>
    <w:rsid w:val="00922F50"/>
    <w:rsid w:val="009242E9"/>
    <w:rsid w:val="0092504C"/>
    <w:rsid w:val="00925236"/>
    <w:rsid w:val="0092671C"/>
    <w:rsid w:val="00926C31"/>
    <w:rsid w:val="00930B58"/>
    <w:rsid w:val="00931ACD"/>
    <w:rsid w:val="00931C6A"/>
    <w:rsid w:val="009347EB"/>
    <w:rsid w:val="00934EE7"/>
    <w:rsid w:val="009356E0"/>
    <w:rsid w:val="00935E37"/>
    <w:rsid w:val="00936A46"/>
    <w:rsid w:val="00936FE0"/>
    <w:rsid w:val="00940804"/>
    <w:rsid w:val="00941753"/>
    <w:rsid w:val="00941C47"/>
    <w:rsid w:val="00942153"/>
    <w:rsid w:val="0094246A"/>
    <w:rsid w:val="00942A05"/>
    <w:rsid w:val="00942F30"/>
    <w:rsid w:val="009434B7"/>
    <w:rsid w:val="009436B2"/>
    <w:rsid w:val="00943873"/>
    <w:rsid w:val="00943AC1"/>
    <w:rsid w:val="0094473F"/>
    <w:rsid w:val="00944B13"/>
    <w:rsid w:val="009454E3"/>
    <w:rsid w:val="00946208"/>
    <w:rsid w:val="0094781D"/>
    <w:rsid w:val="00947A78"/>
    <w:rsid w:val="00950C8D"/>
    <w:rsid w:val="00951044"/>
    <w:rsid w:val="00953750"/>
    <w:rsid w:val="00953979"/>
    <w:rsid w:val="00961B2B"/>
    <w:rsid w:val="009623AF"/>
    <w:rsid w:val="009628A8"/>
    <w:rsid w:val="009629E6"/>
    <w:rsid w:val="00963124"/>
    <w:rsid w:val="0096589F"/>
    <w:rsid w:val="0096632B"/>
    <w:rsid w:val="00966382"/>
    <w:rsid w:val="00966732"/>
    <w:rsid w:val="00966A71"/>
    <w:rsid w:val="009678D3"/>
    <w:rsid w:val="00970BB1"/>
    <w:rsid w:val="00970C3A"/>
    <w:rsid w:val="0097114A"/>
    <w:rsid w:val="00972D52"/>
    <w:rsid w:val="00972E93"/>
    <w:rsid w:val="00973779"/>
    <w:rsid w:val="00973AA7"/>
    <w:rsid w:val="009740D1"/>
    <w:rsid w:val="0097488C"/>
    <w:rsid w:val="00974BFF"/>
    <w:rsid w:val="00975384"/>
    <w:rsid w:val="00980325"/>
    <w:rsid w:val="00980354"/>
    <w:rsid w:val="0098065E"/>
    <w:rsid w:val="00981596"/>
    <w:rsid w:val="00981677"/>
    <w:rsid w:val="00984A21"/>
    <w:rsid w:val="00984BD5"/>
    <w:rsid w:val="00984C6A"/>
    <w:rsid w:val="009855FF"/>
    <w:rsid w:val="00986E20"/>
    <w:rsid w:val="00986E45"/>
    <w:rsid w:val="0098714E"/>
    <w:rsid w:val="0098726B"/>
    <w:rsid w:val="00987A8F"/>
    <w:rsid w:val="00990164"/>
    <w:rsid w:val="00990E14"/>
    <w:rsid w:val="00990EAC"/>
    <w:rsid w:val="009921AF"/>
    <w:rsid w:val="009939E0"/>
    <w:rsid w:val="00993C57"/>
    <w:rsid w:val="00994535"/>
    <w:rsid w:val="00994658"/>
    <w:rsid w:val="00994E1E"/>
    <w:rsid w:val="009951AA"/>
    <w:rsid w:val="00995C8B"/>
    <w:rsid w:val="00996249"/>
    <w:rsid w:val="00996430"/>
    <w:rsid w:val="00996751"/>
    <w:rsid w:val="00996B4A"/>
    <w:rsid w:val="009971DB"/>
    <w:rsid w:val="0099747E"/>
    <w:rsid w:val="009A13C5"/>
    <w:rsid w:val="009A1887"/>
    <w:rsid w:val="009A1909"/>
    <w:rsid w:val="009A241D"/>
    <w:rsid w:val="009A29C8"/>
    <w:rsid w:val="009A321F"/>
    <w:rsid w:val="009A32F5"/>
    <w:rsid w:val="009A34FB"/>
    <w:rsid w:val="009A3B51"/>
    <w:rsid w:val="009A4480"/>
    <w:rsid w:val="009A4562"/>
    <w:rsid w:val="009A47D4"/>
    <w:rsid w:val="009A4B74"/>
    <w:rsid w:val="009A5928"/>
    <w:rsid w:val="009B0759"/>
    <w:rsid w:val="009B105B"/>
    <w:rsid w:val="009B112F"/>
    <w:rsid w:val="009B17AD"/>
    <w:rsid w:val="009B2398"/>
    <w:rsid w:val="009B2538"/>
    <w:rsid w:val="009B254E"/>
    <w:rsid w:val="009B2E96"/>
    <w:rsid w:val="009B2FCE"/>
    <w:rsid w:val="009B502D"/>
    <w:rsid w:val="009B570E"/>
    <w:rsid w:val="009B5CC4"/>
    <w:rsid w:val="009B60A0"/>
    <w:rsid w:val="009B626F"/>
    <w:rsid w:val="009C03FB"/>
    <w:rsid w:val="009C049A"/>
    <w:rsid w:val="009C3683"/>
    <w:rsid w:val="009C3E45"/>
    <w:rsid w:val="009C520F"/>
    <w:rsid w:val="009C58F7"/>
    <w:rsid w:val="009C5C82"/>
    <w:rsid w:val="009C7086"/>
    <w:rsid w:val="009D0366"/>
    <w:rsid w:val="009D04FB"/>
    <w:rsid w:val="009D0679"/>
    <w:rsid w:val="009D0872"/>
    <w:rsid w:val="009D19B9"/>
    <w:rsid w:val="009D2239"/>
    <w:rsid w:val="009D3576"/>
    <w:rsid w:val="009D3E87"/>
    <w:rsid w:val="009D4471"/>
    <w:rsid w:val="009D4FA7"/>
    <w:rsid w:val="009D7BCB"/>
    <w:rsid w:val="009E0E8F"/>
    <w:rsid w:val="009E0F43"/>
    <w:rsid w:val="009E132E"/>
    <w:rsid w:val="009E18EC"/>
    <w:rsid w:val="009E1F46"/>
    <w:rsid w:val="009E2E30"/>
    <w:rsid w:val="009E31F0"/>
    <w:rsid w:val="009E34AC"/>
    <w:rsid w:val="009E34FA"/>
    <w:rsid w:val="009E38C0"/>
    <w:rsid w:val="009E46EC"/>
    <w:rsid w:val="009E49BF"/>
    <w:rsid w:val="009E5737"/>
    <w:rsid w:val="009E5CD4"/>
    <w:rsid w:val="009E629D"/>
    <w:rsid w:val="009E6D0F"/>
    <w:rsid w:val="009E7568"/>
    <w:rsid w:val="009E7796"/>
    <w:rsid w:val="009E790A"/>
    <w:rsid w:val="009F00CB"/>
    <w:rsid w:val="009F0EED"/>
    <w:rsid w:val="009F1155"/>
    <w:rsid w:val="009F1477"/>
    <w:rsid w:val="009F1843"/>
    <w:rsid w:val="009F22D6"/>
    <w:rsid w:val="009F362A"/>
    <w:rsid w:val="009F44A7"/>
    <w:rsid w:val="009F4AB6"/>
    <w:rsid w:val="009F51EF"/>
    <w:rsid w:val="009F56AF"/>
    <w:rsid w:val="009F580C"/>
    <w:rsid w:val="009F59B5"/>
    <w:rsid w:val="009F7F8E"/>
    <w:rsid w:val="00A00253"/>
    <w:rsid w:val="00A00A52"/>
    <w:rsid w:val="00A00EC9"/>
    <w:rsid w:val="00A013EB"/>
    <w:rsid w:val="00A0215E"/>
    <w:rsid w:val="00A0486F"/>
    <w:rsid w:val="00A04BE0"/>
    <w:rsid w:val="00A04C4D"/>
    <w:rsid w:val="00A04F3F"/>
    <w:rsid w:val="00A057C5"/>
    <w:rsid w:val="00A05C3D"/>
    <w:rsid w:val="00A06096"/>
    <w:rsid w:val="00A075B2"/>
    <w:rsid w:val="00A0770F"/>
    <w:rsid w:val="00A1120F"/>
    <w:rsid w:val="00A113B6"/>
    <w:rsid w:val="00A11780"/>
    <w:rsid w:val="00A11B45"/>
    <w:rsid w:val="00A11EEB"/>
    <w:rsid w:val="00A12216"/>
    <w:rsid w:val="00A1288C"/>
    <w:rsid w:val="00A12F61"/>
    <w:rsid w:val="00A13DD8"/>
    <w:rsid w:val="00A13F1C"/>
    <w:rsid w:val="00A14A74"/>
    <w:rsid w:val="00A14BA1"/>
    <w:rsid w:val="00A15E98"/>
    <w:rsid w:val="00A1667F"/>
    <w:rsid w:val="00A167CA"/>
    <w:rsid w:val="00A16CDC"/>
    <w:rsid w:val="00A17268"/>
    <w:rsid w:val="00A17F93"/>
    <w:rsid w:val="00A20D3E"/>
    <w:rsid w:val="00A217E9"/>
    <w:rsid w:val="00A23253"/>
    <w:rsid w:val="00A256B8"/>
    <w:rsid w:val="00A26046"/>
    <w:rsid w:val="00A26333"/>
    <w:rsid w:val="00A26FC7"/>
    <w:rsid w:val="00A27248"/>
    <w:rsid w:val="00A3076B"/>
    <w:rsid w:val="00A30D69"/>
    <w:rsid w:val="00A310B4"/>
    <w:rsid w:val="00A312E9"/>
    <w:rsid w:val="00A31668"/>
    <w:rsid w:val="00A32A8A"/>
    <w:rsid w:val="00A32FA9"/>
    <w:rsid w:val="00A3355C"/>
    <w:rsid w:val="00A33F80"/>
    <w:rsid w:val="00A34BB2"/>
    <w:rsid w:val="00A34CE9"/>
    <w:rsid w:val="00A35408"/>
    <w:rsid w:val="00A40FCF"/>
    <w:rsid w:val="00A41441"/>
    <w:rsid w:val="00A4415F"/>
    <w:rsid w:val="00A44D92"/>
    <w:rsid w:val="00A45A31"/>
    <w:rsid w:val="00A4669F"/>
    <w:rsid w:val="00A47159"/>
    <w:rsid w:val="00A475D6"/>
    <w:rsid w:val="00A5035B"/>
    <w:rsid w:val="00A51250"/>
    <w:rsid w:val="00A512D0"/>
    <w:rsid w:val="00A51A70"/>
    <w:rsid w:val="00A51A95"/>
    <w:rsid w:val="00A51F1B"/>
    <w:rsid w:val="00A535BF"/>
    <w:rsid w:val="00A53AF9"/>
    <w:rsid w:val="00A542C5"/>
    <w:rsid w:val="00A5546D"/>
    <w:rsid w:val="00A55F9A"/>
    <w:rsid w:val="00A56AD9"/>
    <w:rsid w:val="00A56B6F"/>
    <w:rsid w:val="00A57034"/>
    <w:rsid w:val="00A602BD"/>
    <w:rsid w:val="00A60E0B"/>
    <w:rsid w:val="00A614D7"/>
    <w:rsid w:val="00A627DE"/>
    <w:rsid w:val="00A64351"/>
    <w:rsid w:val="00A66EBC"/>
    <w:rsid w:val="00A6726B"/>
    <w:rsid w:val="00A67DDD"/>
    <w:rsid w:val="00A702BE"/>
    <w:rsid w:val="00A7084D"/>
    <w:rsid w:val="00A71295"/>
    <w:rsid w:val="00A71BAC"/>
    <w:rsid w:val="00A723FE"/>
    <w:rsid w:val="00A7258D"/>
    <w:rsid w:val="00A73C10"/>
    <w:rsid w:val="00A745A7"/>
    <w:rsid w:val="00A752D3"/>
    <w:rsid w:val="00A764EF"/>
    <w:rsid w:val="00A76B04"/>
    <w:rsid w:val="00A77111"/>
    <w:rsid w:val="00A77184"/>
    <w:rsid w:val="00A77558"/>
    <w:rsid w:val="00A80116"/>
    <w:rsid w:val="00A80C7F"/>
    <w:rsid w:val="00A81AA9"/>
    <w:rsid w:val="00A83464"/>
    <w:rsid w:val="00A84290"/>
    <w:rsid w:val="00A844E9"/>
    <w:rsid w:val="00A85CC7"/>
    <w:rsid w:val="00A85E43"/>
    <w:rsid w:val="00A85FF2"/>
    <w:rsid w:val="00A86BD0"/>
    <w:rsid w:val="00A8727F"/>
    <w:rsid w:val="00A8736D"/>
    <w:rsid w:val="00A905D9"/>
    <w:rsid w:val="00A91233"/>
    <w:rsid w:val="00A9182C"/>
    <w:rsid w:val="00A91FB3"/>
    <w:rsid w:val="00A925C1"/>
    <w:rsid w:val="00A92F9C"/>
    <w:rsid w:val="00A9311D"/>
    <w:rsid w:val="00A94C18"/>
    <w:rsid w:val="00A94F57"/>
    <w:rsid w:val="00A95952"/>
    <w:rsid w:val="00A964F4"/>
    <w:rsid w:val="00A9650C"/>
    <w:rsid w:val="00A97423"/>
    <w:rsid w:val="00A977A9"/>
    <w:rsid w:val="00A97EDA"/>
    <w:rsid w:val="00AA05FA"/>
    <w:rsid w:val="00AA0DF5"/>
    <w:rsid w:val="00AA2EAD"/>
    <w:rsid w:val="00AA389B"/>
    <w:rsid w:val="00AA4A42"/>
    <w:rsid w:val="00AA534F"/>
    <w:rsid w:val="00AA621F"/>
    <w:rsid w:val="00AA6285"/>
    <w:rsid w:val="00AB072A"/>
    <w:rsid w:val="00AB0E6A"/>
    <w:rsid w:val="00AB1005"/>
    <w:rsid w:val="00AB1577"/>
    <w:rsid w:val="00AB16C1"/>
    <w:rsid w:val="00AB17F0"/>
    <w:rsid w:val="00AB200E"/>
    <w:rsid w:val="00AB38AC"/>
    <w:rsid w:val="00AB3D61"/>
    <w:rsid w:val="00AB4213"/>
    <w:rsid w:val="00AB476E"/>
    <w:rsid w:val="00AB54CE"/>
    <w:rsid w:val="00AB5BA4"/>
    <w:rsid w:val="00AC0D30"/>
    <w:rsid w:val="00AC484B"/>
    <w:rsid w:val="00AC52C9"/>
    <w:rsid w:val="00AC745B"/>
    <w:rsid w:val="00AC7DCB"/>
    <w:rsid w:val="00AD094A"/>
    <w:rsid w:val="00AD20DB"/>
    <w:rsid w:val="00AD2C27"/>
    <w:rsid w:val="00AD4312"/>
    <w:rsid w:val="00AD43A9"/>
    <w:rsid w:val="00AD496F"/>
    <w:rsid w:val="00AD506D"/>
    <w:rsid w:val="00AD5600"/>
    <w:rsid w:val="00AD724C"/>
    <w:rsid w:val="00AD7B14"/>
    <w:rsid w:val="00AD7BE4"/>
    <w:rsid w:val="00AE0137"/>
    <w:rsid w:val="00AE17C7"/>
    <w:rsid w:val="00AE1C5D"/>
    <w:rsid w:val="00AE302A"/>
    <w:rsid w:val="00AE484C"/>
    <w:rsid w:val="00AE6135"/>
    <w:rsid w:val="00AF0399"/>
    <w:rsid w:val="00AF114B"/>
    <w:rsid w:val="00AF127F"/>
    <w:rsid w:val="00AF201C"/>
    <w:rsid w:val="00AF27B8"/>
    <w:rsid w:val="00AF284F"/>
    <w:rsid w:val="00AF2858"/>
    <w:rsid w:val="00AF2B85"/>
    <w:rsid w:val="00AF3171"/>
    <w:rsid w:val="00AF34A9"/>
    <w:rsid w:val="00AF3870"/>
    <w:rsid w:val="00AF452A"/>
    <w:rsid w:val="00AF47D7"/>
    <w:rsid w:val="00AF4888"/>
    <w:rsid w:val="00AF5CE3"/>
    <w:rsid w:val="00AF72E2"/>
    <w:rsid w:val="00AF748B"/>
    <w:rsid w:val="00B003AA"/>
    <w:rsid w:val="00B011C8"/>
    <w:rsid w:val="00B018AF"/>
    <w:rsid w:val="00B01DE0"/>
    <w:rsid w:val="00B03558"/>
    <w:rsid w:val="00B037C2"/>
    <w:rsid w:val="00B0428C"/>
    <w:rsid w:val="00B04F86"/>
    <w:rsid w:val="00B0509C"/>
    <w:rsid w:val="00B05A0D"/>
    <w:rsid w:val="00B06369"/>
    <w:rsid w:val="00B06696"/>
    <w:rsid w:val="00B06D91"/>
    <w:rsid w:val="00B07539"/>
    <w:rsid w:val="00B10F04"/>
    <w:rsid w:val="00B13080"/>
    <w:rsid w:val="00B13EEB"/>
    <w:rsid w:val="00B151B9"/>
    <w:rsid w:val="00B156C2"/>
    <w:rsid w:val="00B15840"/>
    <w:rsid w:val="00B159EE"/>
    <w:rsid w:val="00B15D85"/>
    <w:rsid w:val="00B1627C"/>
    <w:rsid w:val="00B165E6"/>
    <w:rsid w:val="00B1669C"/>
    <w:rsid w:val="00B16B33"/>
    <w:rsid w:val="00B16F82"/>
    <w:rsid w:val="00B1772D"/>
    <w:rsid w:val="00B2033A"/>
    <w:rsid w:val="00B211F3"/>
    <w:rsid w:val="00B22129"/>
    <w:rsid w:val="00B226F7"/>
    <w:rsid w:val="00B227BF"/>
    <w:rsid w:val="00B22C24"/>
    <w:rsid w:val="00B2342E"/>
    <w:rsid w:val="00B23EFA"/>
    <w:rsid w:val="00B24157"/>
    <w:rsid w:val="00B24BA2"/>
    <w:rsid w:val="00B24D7A"/>
    <w:rsid w:val="00B24F7E"/>
    <w:rsid w:val="00B26678"/>
    <w:rsid w:val="00B267FE"/>
    <w:rsid w:val="00B268DE"/>
    <w:rsid w:val="00B26AC1"/>
    <w:rsid w:val="00B27153"/>
    <w:rsid w:val="00B30539"/>
    <w:rsid w:val="00B30794"/>
    <w:rsid w:val="00B32F39"/>
    <w:rsid w:val="00B336F5"/>
    <w:rsid w:val="00B33EEE"/>
    <w:rsid w:val="00B34C37"/>
    <w:rsid w:val="00B356DA"/>
    <w:rsid w:val="00B36208"/>
    <w:rsid w:val="00B414CB"/>
    <w:rsid w:val="00B429D3"/>
    <w:rsid w:val="00B42F0F"/>
    <w:rsid w:val="00B43192"/>
    <w:rsid w:val="00B45626"/>
    <w:rsid w:val="00B45835"/>
    <w:rsid w:val="00B46662"/>
    <w:rsid w:val="00B47004"/>
    <w:rsid w:val="00B470D8"/>
    <w:rsid w:val="00B4730D"/>
    <w:rsid w:val="00B47890"/>
    <w:rsid w:val="00B502A3"/>
    <w:rsid w:val="00B502E2"/>
    <w:rsid w:val="00B5161F"/>
    <w:rsid w:val="00B52420"/>
    <w:rsid w:val="00B52428"/>
    <w:rsid w:val="00B53230"/>
    <w:rsid w:val="00B53672"/>
    <w:rsid w:val="00B53776"/>
    <w:rsid w:val="00B5386F"/>
    <w:rsid w:val="00B53E4C"/>
    <w:rsid w:val="00B54683"/>
    <w:rsid w:val="00B55370"/>
    <w:rsid w:val="00B56337"/>
    <w:rsid w:val="00B5770D"/>
    <w:rsid w:val="00B602F1"/>
    <w:rsid w:val="00B60397"/>
    <w:rsid w:val="00B6138C"/>
    <w:rsid w:val="00B61634"/>
    <w:rsid w:val="00B63694"/>
    <w:rsid w:val="00B63DD7"/>
    <w:rsid w:val="00B65EF4"/>
    <w:rsid w:val="00B6673E"/>
    <w:rsid w:val="00B66AD9"/>
    <w:rsid w:val="00B67307"/>
    <w:rsid w:val="00B702AF"/>
    <w:rsid w:val="00B70619"/>
    <w:rsid w:val="00B71547"/>
    <w:rsid w:val="00B71798"/>
    <w:rsid w:val="00B71963"/>
    <w:rsid w:val="00B726E4"/>
    <w:rsid w:val="00B72D77"/>
    <w:rsid w:val="00B738C6"/>
    <w:rsid w:val="00B74974"/>
    <w:rsid w:val="00B74B86"/>
    <w:rsid w:val="00B77D42"/>
    <w:rsid w:val="00B8097C"/>
    <w:rsid w:val="00B8227C"/>
    <w:rsid w:val="00B82AD9"/>
    <w:rsid w:val="00B86135"/>
    <w:rsid w:val="00B8635C"/>
    <w:rsid w:val="00B865E2"/>
    <w:rsid w:val="00B90550"/>
    <w:rsid w:val="00B9083F"/>
    <w:rsid w:val="00B90866"/>
    <w:rsid w:val="00B909DF"/>
    <w:rsid w:val="00B90F75"/>
    <w:rsid w:val="00B90FB2"/>
    <w:rsid w:val="00B91517"/>
    <w:rsid w:val="00B91883"/>
    <w:rsid w:val="00B9197B"/>
    <w:rsid w:val="00B9292F"/>
    <w:rsid w:val="00B93069"/>
    <w:rsid w:val="00B9319A"/>
    <w:rsid w:val="00B93206"/>
    <w:rsid w:val="00B9353F"/>
    <w:rsid w:val="00B93DAC"/>
    <w:rsid w:val="00B941AD"/>
    <w:rsid w:val="00B94A6B"/>
    <w:rsid w:val="00B958D7"/>
    <w:rsid w:val="00B95A25"/>
    <w:rsid w:val="00BA1B1D"/>
    <w:rsid w:val="00BA27D7"/>
    <w:rsid w:val="00BA30BC"/>
    <w:rsid w:val="00BA36CD"/>
    <w:rsid w:val="00BA5036"/>
    <w:rsid w:val="00BA56F2"/>
    <w:rsid w:val="00BA62CE"/>
    <w:rsid w:val="00BA6A2E"/>
    <w:rsid w:val="00BA6E07"/>
    <w:rsid w:val="00BA7B5B"/>
    <w:rsid w:val="00BB0134"/>
    <w:rsid w:val="00BB128E"/>
    <w:rsid w:val="00BB1292"/>
    <w:rsid w:val="00BB13F6"/>
    <w:rsid w:val="00BB1EA4"/>
    <w:rsid w:val="00BB26D0"/>
    <w:rsid w:val="00BB30AB"/>
    <w:rsid w:val="00BB3A58"/>
    <w:rsid w:val="00BB3E6D"/>
    <w:rsid w:val="00BB44EE"/>
    <w:rsid w:val="00BB495C"/>
    <w:rsid w:val="00BB4C74"/>
    <w:rsid w:val="00BB4CCC"/>
    <w:rsid w:val="00BB5E8D"/>
    <w:rsid w:val="00BB6275"/>
    <w:rsid w:val="00BB671A"/>
    <w:rsid w:val="00BB6967"/>
    <w:rsid w:val="00BB6A91"/>
    <w:rsid w:val="00BB70BF"/>
    <w:rsid w:val="00BC0A07"/>
    <w:rsid w:val="00BC10E2"/>
    <w:rsid w:val="00BC1509"/>
    <w:rsid w:val="00BC1A93"/>
    <w:rsid w:val="00BC1F64"/>
    <w:rsid w:val="00BC2A33"/>
    <w:rsid w:val="00BC339F"/>
    <w:rsid w:val="00BC38AB"/>
    <w:rsid w:val="00BC399C"/>
    <w:rsid w:val="00BC3E6E"/>
    <w:rsid w:val="00BC40BE"/>
    <w:rsid w:val="00BC6661"/>
    <w:rsid w:val="00BC7199"/>
    <w:rsid w:val="00BD05BF"/>
    <w:rsid w:val="00BD1F01"/>
    <w:rsid w:val="00BD2102"/>
    <w:rsid w:val="00BD38B3"/>
    <w:rsid w:val="00BD3DFD"/>
    <w:rsid w:val="00BD4F72"/>
    <w:rsid w:val="00BD7438"/>
    <w:rsid w:val="00BD7F23"/>
    <w:rsid w:val="00BE1FE8"/>
    <w:rsid w:val="00BE2321"/>
    <w:rsid w:val="00BE2970"/>
    <w:rsid w:val="00BE36F1"/>
    <w:rsid w:val="00BE3D13"/>
    <w:rsid w:val="00BE412F"/>
    <w:rsid w:val="00BE4AAD"/>
    <w:rsid w:val="00BE4CF6"/>
    <w:rsid w:val="00BE4DC5"/>
    <w:rsid w:val="00BE4E16"/>
    <w:rsid w:val="00BE5382"/>
    <w:rsid w:val="00BE5F84"/>
    <w:rsid w:val="00BE699A"/>
    <w:rsid w:val="00BE7101"/>
    <w:rsid w:val="00BE780F"/>
    <w:rsid w:val="00BE7A37"/>
    <w:rsid w:val="00BE7C23"/>
    <w:rsid w:val="00BE7C56"/>
    <w:rsid w:val="00BF05B4"/>
    <w:rsid w:val="00BF08A0"/>
    <w:rsid w:val="00BF13CC"/>
    <w:rsid w:val="00BF2DBE"/>
    <w:rsid w:val="00BF3600"/>
    <w:rsid w:val="00BF3B16"/>
    <w:rsid w:val="00BF4633"/>
    <w:rsid w:val="00BF48E3"/>
    <w:rsid w:val="00BF495C"/>
    <w:rsid w:val="00BF6CEB"/>
    <w:rsid w:val="00BF7A73"/>
    <w:rsid w:val="00C0004B"/>
    <w:rsid w:val="00C0023B"/>
    <w:rsid w:val="00C004BF"/>
    <w:rsid w:val="00C0196A"/>
    <w:rsid w:val="00C023ED"/>
    <w:rsid w:val="00C02CF7"/>
    <w:rsid w:val="00C03BEF"/>
    <w:rsid w:val="00C03F67"/>
    <w:rsid w:val="00C04E99"/>
    <w:rsid w:val="00C06CF8"/>
    <w:rsid w:val="00C07076"/>
    <w:rsid w:val="00C078AD"/>
    <w:rsid w:val="00C11E7F"/>
    <w:rsid w:val="00C1415A"/>
    <w:rsid w:val="00C15095"/>
    <w:rsid w:val="00C16757"/>
    <w:rsid w:val="00C168F1"/>
    <w:rsid w:val="00C17743"/>
    <w:rsid w:val="00C17DF8"/>
    <w:rsid w:val="00C210B5"/>
    <w:rsid w:val="00C21967"/>
    <w:rsid w:val="00C235C4"/>
    <w:rsid w:val="00C23896"/>
    <w:rsid w:val="00C320E0"/>
    <w:rsid w:val="00C329BC"/>
    <w:rsid w:val="00C331E2"/>
    <w:rsid w:val="00C3352E"/>
    <w:rsid w:val="00C33728"/>
    <w:rsid w:val="00C346D9"/>
    <w:rsid w:val="00C3505C"/>
    <w:rsid w:val="00C36099"/>
    <w:rsid w:val="00C3639C"/>
    <w:rsid w:val="00C3667A"/>
    <w:rsid w:val="00C36F90"/>
    <w:rsid w:val="00C36FC9"/>
    <w:rsid w:val="00C377FF"/>
    <w:rsid w:val="00C405F4"/>
    <w:rsid w:val="00C42605"/>
    <w:rsid w:val="00C437CE"/>
    <w:rsid w:val="00C440EA"/>
    <w:rsid w:val="00C447D3"/>
    <w:rsid w:val="00C44B14"/>
    <w:rsid w:val="00C44E4E"/>
    <w:rsid w:val="00C45935"/>
    <w:rsid w:val="00C45EA5"/>
    <w:rsid w:val="00C4636A"/>
    <w:rsid w:val="00C467CA"/>
    <w:rsid w:val="00C46D7E"/>
    <w:rsid w:val="00C47136"/>
    <w:rsid w:val="00C47C69"/>
    <w:rsid w:val="00C47E98"/>
    <w:rsid w:val="00C50798"/>
    <w:rsid w:val="00C50E7A"/>
    <w:rsid w:val="00C51D91"/>
    <w:rsid w:val="00C52265"/>
    <w:rsid w:val="00C5255F"/>
    <w:rsid w:val="00C52A58"/>
    <w:rsid w:val="00C54913"/>
    <w:rsid w:val="00C55D65"/>
    <w:rsid w:val="00C55EA5"/>
    <w:rsid w:val="00C55F5B"/>
    <w:rsid w:val="00C56F25"/>
    <w:rsid w:val="00C57AC5"/>
    <w:rsid w:val="00C6063F"/>
    <w:rsid w:val="00C6066F"/>
    <w:rsid w:val="00C61A93"/>
    <w:rsid w:val="00C61F94"/>
    <w:rsid w:val="00C62FC5"/>
    <w:rsid w:val="00C6362E"/>
    <w:rsid w:val="00C65857"/>
    <w:rsid w:val="00C6725F"/>
    <w:rsid w:val="00C678A4"/>
    <w:rsid w:val="00C701AD"/>
    <w:rsid w:val="00C71039"/>
    <w:rsid w:val="00C74B27"/>
    <w:rsid w:val="00C80419"/>
    <w:rsid w:val="00C819B6"/>
    <w:rsid w:val="00C82412"/>
    <w:rsid w:val="00C82D66"/>
    <w:rsid w:val="00C83E43"/>
    <w:rsid w:val="00C848BE"/>
    <w:rsid w:val="00C84D73"/>
    <w:rsid w:val="00C8510D"/>
    <w:rsid w:val="00C85D6F"/>
    <w:rsid w:val="00C861F3"/>
    <w:rsid w:val="00C86539"/>
    <w:rsid w:val="00C87AC9"/>
    <w:rsid w:val="00C90638"/>
    <w:rsid w:val="00C90A1E"/>
    <w:rsid w:val="00C916BA"/>
    <w:rsid w:val="00C92F40"/>
    <w:rsid w:val="00C93C74"/>
    <w:rsid w:val="00C9459F"/>
    <w:rsid w:val="00C96B8F"/>
    <w:rsid w:val="00CA087D"/>
    <w:rsid w:val="00CA2854"/>
    <w:rsid w:val="00CA2A5A"/>
    <w:rsid w:val="00CA4B33"/>
    <w:rsid w:val="00CA4F05"/>
    <w:rsid w:val="00CA6074"/>
    <w:rsid w:val="00CA7B45"/>
    <w:rsid w:val="00CA7D9C"/>
    <w:rsid w:val="00CB07D7"/>
    <w:rsid w:val="00CB21B9"/>
    <w:rsid w:val="00CB23CF"/>
    <w:rsid w:val="00CB2434"/>
    <w:rsid w:val="00CB2497"/>
    <w:rsid w:val="00CB2F94"/>
    <w:rsid w:val="00CB32B6"/>
    <w:rsid w:val="00CB3D69"/>
    <w:rsid w:val="00CB4024"/>
    <w:rsid w:val="00CB4916"/>
    <w:rsid w:val="00CC08EA"/>
    <w:rsid w:val="00CC1AA5"/>
    <w:rsid w:val="00CC2058"/>
    <w:rsid w:val="00CC28BA"/>
    <w:rsid w:val="00CC29B8"/>
    <w:rsid w:val="00CC2A90"/>
    <w:rsid w:val="00CC3999"/>
    <w:rsid w:val="00CC3BA1"/>
    <w:rsid w:val="00CC5FA4"/>
    <w:rsid w:val="00CD0401"/>
    <w:rsid w:val="00CD05AB"/>
    <w:rsid w:val="00CD09B5"/>
    <w:rsid w:val="00CD4B26"/>
    <w:rsid w:val="00CD5BF0"/>
    <w:rsid w:val="00CD660A"/>
    <w:rsid w:val="00CD66DD"/>
    <w:rsid w:val="00CD685E"/>
    <w:rsid w:val="00CD68E7"/>
    <w:rsid w:val="00CD6C6F"/>
    <w:rsid w:val="00CD74AA"/>
    <w:rsid w:val="00CE0620"/>
    <w:rsid w:val="00CE0DA7"/>
    <w:rsid w:val="00CE0F56"/>
    <w:rsid w:val="00CE1B8B"/>
    <w:rsid w:val="00CE1E29"/>
    <w:rsid w:val="00CE2B99"/>
    <w:rsid w:val="00CE314A"/>
    <w:rsid w:val="00CE4637"/>
    <w:rsid w:val="00CE6335"/>
    <w:rsid w:val="00CE654B"/>
    <w:rsid w:val="00CE73B6"/>
    <w:rsid w:val="00CE74A1"/>
    <w:rsid w:val="00CE7CF8"/>
    <w:rsid w:val="00CF0887"/>
    <w:rsid w:val="00CF3155"/>
    <w:rsid w:val="00CF3238"/>
    <w:rsid w:val="00CF44E4"/>
    <w:rsid w:val="00CF488E"/>
    <w:rsid w:val="00CF4EE0"/>
    <w:rsid w:val="00CF5254"/>
    <w:rsid w:val="00CF5DFF"/>
    <w:rsid w:val="00CF67DD"/>
    <w:rsid w:val="00CF7655"/>
    <w:rsid w:val="00D000B9"/>
    <w:rsid w:val="00D01167"/>
    <w:rsid w:val="00D021EB"/>
    <w:rsid w:val="00D04007"/>
    <w:rsid w:val="00D04297"/>
    <w:rsid w:val="00D04CF2"/>
    <w:rsid w:val="00D05D06"/>
    <w:rsid w:val="00D05F27"/>
    <w:rsid w:val="00D06958"/>
    <w:rsid w:val="00D06BC6"/>
    <w:rsid w:val="00D07D4A"/>
    <w:rsid w:val="00D10634"/>
    <w:rsid w:val="00D106E1"/>
    <w:rsid w:val="00D11E8D"/>
    <w:rsid w:val="00D13271"/>
    <w:rsid w:val="00D14763"/>
    <w:rsid w:val="00D15AF7"/>
    <w:rsid w:val="00D15CFC"/>
    <w:rsid w:val="00D15EE9"/>
    <w:rsid w:val="00D15FE4"/>
    <w:rsid w:val="00D1626A"/>
    <w:rsid w:val="00D211F6"/>
    <w:rsid w:val="00D2255F"/>
    <w:rsid w:val="00D2296A"/>
    <w:rsid w:val="00D22B6A"/>
    <w:rsid w:val="00D22F90"/>
    <w:rsid w:val="00D23BCB"/>
    <w:rsid w:val="00D24030"/>
    <w:rsid w:val="00D255EC"/>
    <w:rsid w:val="00D271AD"/>
    <w:rsid w:val="00D272E0"/>
    <w:rsid w:val="00D31559"/>
    <w:rsid w:val="00D31C96"/>
    <w:rsid w:val="00D32133"/>
    <w:rsid w:val="00D33CEA"/>
    <w:rsid w:val="00D3452C"/>
    <w:rsid w:val="00D35011"/>
    <w:rsid w:val="00D3537E"/>
    <w:rsid w:val="00D35518"/>
    <w:rsid w:val="00D3612D"/>
    <w:rsid w:val="00D3674A"/>
    <w:rsid w:val="00D36DF2"/>
    <w:rsid w:val="00D372C2"/>
    <w:rsid w:val="00D375FF"/>
    <w:rsid w:val="00D37F4B"/>
    <w:rsid w:val="00D40B14"/>
    <w:rsid w:val="00D40E98"/>
    <w:rsid w:val="00D40F53"/>
    <w:rsid w:val="00D412A6"/>
    <w:rsid w:val="00D418D2"/>
    <w:rsid w:val="00D42189"/>
    <w:rsid w:val="00D42D80"/>
    <w:rsid w:val="00D43265"/>
    <w:rsid w:val="00D4368E"/>
    <w:rsid w:val="00D437F2"/>
    <w:rsid w:val="00D439D6"/>
    <w:rsid w:val="00D44A61"/>
    <w:rsid w:val="00D452D8"/>
    <w:rsid w:val="00D466D2"/>
    <w:rsid w:val="00D47142"/>
    <w:rsid w:val="00D47748"/>
    <w:rsid w:val="00D4793A"/>
    <w:rsid w:val="00D51A13"/>
    <w:rsid w:val="00D5266A"/>
    <w:rsid w:val="00D527BE"/>
    <w:rsid w:val="00D538B0"/>
    <w:rsid w:val="00D538F1"/>
    <w:rsid w:val="00D53BAC"/>
    <w:rsid w:val="00D5482D"/>
    <w:rsid w:val="00D5599C"/>
    <w:rsid w:val="00D56005"/>
    <w:rsid w:val="00D567DF"/>
    <w:rsid w:val="00D567F4"/>
    <w:rsid w:val="00D56811"/>
    <w:rsid w:val="00D609A3"/>
    <w:rsid w:val="00D60F3C"/>
    <w:rsid w:val="00D61875"/>
    <w:rsid w:val="00D61D44"/>
    <w:rsid w:val="00D62193"/>
    <w:rsid w:val="00D62972"/>
    <w:rsid w:val="00D63620"/>
    <w:rsid w:val="00D63F84"/>
    <w:rsid w:val="00D64542"/>
    <w:rsid w:val="00D645C4"/>
    <w:rsid w:val="00D64D9B"/>
    <w:rsid w:val="00D6525F"/>
    <w:rsid w:val="00D710E3"/>
    <w:rsid w:val="00D716B3"/>
    <w:rsid w:val="00D71CA2"/>
    <w:rsid w:val="00D73048"/>
    <w:rsid w:val="00D73473"/>
    <w:rsid w:val="00D74CEC"/>
    <w:rsid w:val="00D75326"/>
    <w:rsid w:val="00D75463"/>
    <w:rsid w:val="00D757B1"/>
    <w:rsid w:val="00D75D8A"/>
    <w:rsid w:val="00D76EA8"/>
    <w:rsid w:val="00D77CEB"/>
    <w:rsid w:val="00D77FBA"/>
    <w:rsid w:val="00D80C14"/>
    <w:rsid w:val="00D8260B"/>
    <w:rsid w:val="00D828D1"/>
    <w:rsid w:val="00D82C35"/>
    <w:rsid w:val="00D83BF8"/>
    <w:rsid w:val="00D8621F"/>
    <w:rsid w:val="00D86AF8"/>
    <w:rsid w:val="00D8722A"/>
    <w:rsid w:val="00D873C7"/>
    <w:rsid w:val="00D87723"/>
    <w:rsid w:val="00D87898"/>
    <w:rsid w:val="00D9026D"/>
    <w:rsid w:val="00D92518"/>
    <w:rsid w:val="00D92CB8"/>
    <w:rsid w:val="00D93656"/>
    <w:rsid w:val="00D9458E"/>
    <w:rsid w:val="00D947F7"/>
    <w:rsid w:val="00D94AC2"/>
    <w:rsid w:val="00D95A6A"/>
    <w:rsid w:val="00D96484"/>
    <w:rsid w:val="00D966BE"/>
    <w:rsid w:val="00D970E8"/>
    <w:rsid w:val="00DA0A9F"/>
    <w:rsid w:val="00DA0B3F"/>
    <w:rsid w:val="00DA1D1C"/>
    <w:rsid w:val="00DA2811"/>
    <w:rsid w:val="00DA2C39"/>
    <w:rsid w:val="00DA33C6"/>
    <w:rsid w:val="00DA353A"/>
    <w:rsid w:val="00DA3E34"/>
    <w:rsid w:val="00DA52AE"/>
    <w:rsid w:val="00DA5A47"/>
    <w:rsid w:val="00DA78B4"/>
    <w:rsid w:val="00DA7A75"/>
    <w:rsid w:val="00DA7B51"/>
    <w:rsid w:val="00DB0C22"/>
    <w:rsid w:val="00DB19AA"/>
    <w:rsid w:val="00DB232C"/>
    <w:rsid w:val="00DB2887"/>
    <w:rsid w:val="00DB3542"/>
    <w:rsid w:val="00DB35EB"/>
    <w:rsid w:val="00DB3C6D"/>
    <w:rsid w:val="00DB5AB5"/>
    <w:rsid w:val="00DB6602"/>
    <w:rsid w:val="00DB7514"/>
    <w:rsid w:val="00DC06D3"/>
    <w:rsid w:val="00DC2D44"/>
    <w:rsid w:val="00DC3AD6"/>
    <w:rsid w:val="00DC5245"/>
    <w:rsid w:val="00DC5D3D"/>
    <w:rsid w:val="00DC614D"/>
    <w:rsid w:val="00DC6672"/>
    <w:rsid w:val="00DC6C0F"/>
    <w:rsid w:val="00DC6E8A"/>
    <w:rsid w:val="00DC6EA9"/>
    <w:rsid w:val="00DC6F9C"/>
    <w:rsid w:val="00DC7511"/>
    <w:rsid w:val="00DC7852"/>
    <w:rsid w:val="00DC79CF"/>
    <w:rsid w:val="00DD008B"/>
    <w:rsid w:val="00DD17A8"/>
    <w:rsid w:val="00DD27DC"/>
    <w:rsid w:val="00DD2B7C"/>
    <w:rsid w:val="00DD34F5"/>
    <w:rsid w:val="00DD3D63"/>
    <w:rsid w:val="00DD41DA"/>
    <w:rsid w:val="00DD447E"/>
    <w:rsid w:val="00DD552A"/>
    <w:rsid w:val="00DD62D6"/>
    <w:rsid w:val="00DD6474"/>
    <w:rsid w:val="00DD6631"/>
    <w:rsid w:val="00DD6B0D"/>
    <w:rsid w:val="00DD6C3D"/>
    <w:rsid w:val="00DD6EEC"/>
    <w:rsid w:val="00DD72D5"/>
    <w:rsid w:val="00DD7920"/>
    <w:rsid w:val="00DE03A7"/>
    <w:rsid w:val="00DE115B"/>
    <w:rsid w:val="00DE1AED"/>
    <w:rsid w:val="00DE32A6"/>
    <w:rsid w:val="00DE4B7B"/>
    <w:rsid w:val="00DE5E71"/>
    <w:rsid w:val="00DE70FC"/>
    <w:rsid w:val="00DE754C"/>
    <w:rsid w:val="00DF01B5"/>
    <w:rsid w:val="00DF0699"/>
    <w:rsid w:val="00DF2533"/>
    <w:rsid w:val="00DF2F38"/>
    <w:rsid w:val="00DF353B"/>
    <w:rsid w:val="00DF36C7"/>
    <w:rsid w:val="00DF4CA7"/>
    <w:rsid w:val="00DF5A33"/>
    <w:rsid w:val="00DF5D9F"/>
    <w:rsid w:val="00DF6084"/>
    <w:rsid w:val="00DF661D"/>
    <w:rsid w:val="00DF6D50"/>
    <w:rsid w:val="00E020A1"/>
    <w:rsid w:val="00E03048"/>
    <w:rsid w:val="00E03479"/>
    <w:rsid w:val="00E03C58"/>
    <w:rsid w:val="00E069FD"/>
    <w:rsid w:val="00E06BB7"/>
    <w:rsid w:val="00E06C33"/>
    <w:rsid w:val="00E07A40"/>
    <w:rsid w:val="00E07B13"/>
    <w:rsid w:val="00E07F53"/>
    <w:rsid w:val="00E10135"/>
    <w:rsid w:val="00E103B5"/>
    <w:rsid w:val="00E10790"/>
    <w:rsid w:val="00E10C2A"/>
    <w:rsid w:val="00E1108D"/>
    <w:rsid w:val="00E12A33"/>
    <w:rsid w:val="00E12E5C"/>
    <w:rsid w:val="00E13417"/>
    <w:rsid w:val="00E134C6"/>
    <w:rsid w:val="00E138CC"/>
    <w:rsid w:val="00E13FB3"/>
    <w:rsid w:val="00E177BF"/>
    <w:rsid w:val="00E17810"/>
    <w:rsid w:val="00E1784F"/>
    <w:rsid w:val="00E20969"/>
    <w:rsid w:val="00E20E3B"/>
    <w:rsid w:val="00E218B8"/>
    <w:rsid w:val="00E21CCD"/>
    <w:rsid w:val="00E22544"/>
    <w:rsid w:val="00E226F7"/>
    <w:rsid w:val="00E22EA0"/>
    <w:rsid w:val="00E23AD2"/>
    <w:rsid w:val="00E23DC9"/>
    <w:rsid w:val="00E241EC"/>
    <w:rsid w:val="00E24B36"/>
    <w:rsid w:val="00E25275"/>
    <w:rsid w:val="00E268D1"/>
    <w:rsid w:val="00E26AF4"/>
    <w:rsid w:val="00E2729E"/>
    <w:rsid w:val="00E27F51"/>
    <w:rsid w:val="00E30CB2"/>
    <w:rsid w:val="00E314EB"/>
    <w:rsid w:val="00E316CE"/>
    <w:rsid w:val="00E3186B"/>
    <w:rsid w:val="00E31E78"/>
    <w:rsid w:val="00E321D1"/>
    <w:rsid w:val="00E327B9"/>
    <w:rsid w:val="00E32A0B"/>
    <w:rsid w:val="00E32BB8"/>
    <w:rsid w:val="00E3306F"/>
    <w:rsid w:val="00E3350E"/>
    <w:rsid w:val="00E33724"/>
    <w:rsid w:val="00E3391C"/>
    <w:rsid w:val="00E35517"/>
    <w:rsid w:val="00E35AFA"/>
    <w:rsid w:val="00E40037"/>
    <w:rsid w:val="00E401B3"/>
    <w:rsid w:val="00E41D72"/>
    <w:rsid w:val="00E420C5"/>
    <w:rsid w:val="00E4347D"/>
    <w:rsid w:val="00E45B33"/>
    <w:rsid w:val="00E45E26"/>
    <w:rsid w:val="00E469C0"/>
    <w:rsid w:val="00E474E6"/>
    <w:rsid w:val="00E51DD2"/>
    <w:rsid w:val="00E522AD"/>
    <w:rsid w:val="00E53311"/>
    <w:rsid w:val="00E535C0"/>
    <w:rsid w:val="00E535EF"/>
    <w:rsid w:val="00E53F3A"/>
    <w:rsid w:val="00E5421F"/>
    <w:rsid w:val="00E54C25"/>
    <w:rsid w:val="00E55626"/>
    <w:rsid w:val="00E55876"/>
    <w:rsid w:val="00E56B5F"/>
    <w:rsid w:val="00E56FCA"/>
    <w:rsid w:val="00E5761D"/>
    <w:rsid w:val="00E5793F"/>
    <w:rsid w:val="00E57B3E"/>
    <w:rsid w:val="00E6115D"/>
    <w:rsid w:val="00E61C42"/>
    <w:rsid w:val="00E61CEC"/>
    <w:rsid w:val="00E620C3"/>
    <w:rsid w:val="00E621F0"/>
    <w:rsid w:val="00E62B56"/>
    <w:rsid w:val="00E633A2"/>
    <w:rsid w:val="00E63FB1"/>
    <w:rsid w:val="00E65D32"/>
    <w:rsid w:val="00E67482"/>
    <w:rsid w:val="00E70355"/>
    <w:rsid w:val="00E7147F"/>
    <w:rsid w:val="00E71555"/>
    <w:rsid w:val="00E71E43"/>
    <w:rsid w:val="00E720FB"/>
    <w:rsid w:val="00E72456"/>
    <w:rsid w:val="00E72A75"/>
    <w:rsid w:val="00E74337"/>
    <w:rsid w:val="00E74601"/>
    <w:rsid w:val="00E74863"/>
    <w:rsid w:val="00E752FE"/>
    <w:rsid w:val="00E75B33"/>
    <w:rsid w:val="00E80166"/>
    <w:rsid w:val="00E816CF"/>
    <w:rsid w:val="00E82308"/>
    <w:rsid w:val="00E8375B"/>
    <w:rsid w:val="00E846D1"/>
    <w:rsid w:val="00E86CC1"/>
    <w:rsid w:val="00E87F4D"/>
    <w:rsid w:val="00E91AD3"/>
    <w:rsid w:val="00E936A8"/>
    <w:rsid w:val="00E944F0"/>
    <w:rsid w:val="00E948BA"/>
    <w:rsid w:val="00E94C6F"/>
    <w:rsid w:val="00E94D19"/>
    <w:rsid w:val="00E958A0"/>
    <w:rsid w:val="00E96452"/>
    <w:rsid w:val="00EA0017"/>
    <w:rsid w:val="00EA01D0"/>
    <w:rsid w:val="00EA03A0"/>
    <w:rsid w:val="00EA0648"/>
    <w:rsid w:val="00EA07C5"/>
    <w:rsid w:val="00EA0EEA"/>
    <w:rsid w:val="00EA1646"/>
    <w:rsid w:val="00EA27A4"/>
    <w:rsid w:val="00EA29C0"/>
    <w:rsid w:val="00EA433D"/>
    <w:rsid w:val="00EA5246"/>
    <w:rsid w:val="00EA62B2"/>
    <w:rsid w:val="00EA6647"/>
    <w:rsid w:val="00EA71A1"/>
    <w:rsid w:val="00EA76AA"/>
    <w:rsid w:val="00EA7B20"/>
    <w:rsid w:val="00EB0653"/>
    <w:rsid w:val="00EB1EDD"/>
    <w:rsid w:val="00EB2E7F"/>
    <w:rsid w:val="00EB2E9A"/>
    <w:rsid w:val="00EB33FC"/>
    <w:rsid w:val="00EB3AAE"/>
    <w:rsid w:val="00EB45CC"/>
    <w:rsid w:val="00EB4811"/>
    <w:rsid w:val="00EB50A8"/>
    <w:rsid w:val="00EB5498"/>
    <w:rsid w:val="00EB5693"/>
    <w:rsid w:val="00EB6D08"/>
    <w:rsid w:val="00EB6DF2"/>
    <w:rsid w:val="00EB7D04"/>
    <w:rsid w:val="00EC06F5"/>
    <w:rsid w:val="00EC14A8"/>
    <w:rsid w:val="00EC2506"/>
    <w:rsid w:val="00EC3890"/>
    <w:rsid w:val="00EC3A18"/>
    <w:rsid w:val="00EC47AC"/>
    <w:rsid w:val="00EC565E"/>
    <w:rsid w:val="00EC6082"/>
    <w:rsid w:val="00EC6804"/>
    <w:rsid w:val="00EC6BB4"/>
    <w:rsid w:val="00ED0650"/>
    <w:rsid w:val="00ED1A50"/>
    <w:rsid w:val="00ED2E9F"/>
    <w:rsid w:val="00ED336B"/>
    <w:rsid w:val="00ED349C"/>
    <w:rsid w:val="00ED55E7"/>
    <w:rsid w:val="00ED7A57"/>
    <w:rsid w:val="00ED7F40"/>
    <w:rsid w:val="00EE021F"/>
    <w:rsid w:val="00EE2307"/>
    <w:rsid w:val="00EE2578"/>
    <w:rsid w:val="00EE2994"/>
    <w:rsid w:val="00EE2C91"/>
    <w:rsid w:val="00EE3838"/>
    <w:rsid w:val="00EE461B"/>
    <w:rsid w:val="00EE51E2"/>
    <w:rsid w:val="00EE6219"/>
    <w:rsid w:val="00EE67D3"/>
    <w:rsid w:val="00EE7738"/>
    <w:rsid w:val="00EF027E"/>
    <w:rsid w:val="00EF1D8E"/>
    <w:rsid w:val="00EF2B1F"/>
    <w:rsid w:val="00EF32FE"/>
    <w:rsid w:val="00EF337C"/>
    <w:rsid w:val="00EF3ABE"/>
    <w:rsid w:val="00EF44D7"/>
    <w:rsid w:val="00EF51B0"/>
    <w:rsid w:val="00EF5AD4"/>
    <w:rsid w:val="00EF7127"/>
    <w:rsid w:val="00EF7CED"/>
    <w:rsid w:val="00F02C70"/>
    <w:rsid w:val="00F03A56"/>
    <w:rsid w:val="00F04C0A"/>
    <w:rsid w:val="00F05A3B"/>
    <w:rsid w:val="00F061C6"/>
    <w:rsid w:val="00F071C8"/>
    <w:rsid w:val="00F109A4"/>
    <w:rsid w:val="00F113BA"/>
    <w:rsid w:val="00F124AA"/>
    <w:rsid w:val="00F14221"/>
    <w:rsid w:val="00F144C8"/>
    <w:rsid w:val="00F14CF2"/>
    <w:rsid w:val="00F152BF"/>
    <w:rsid w:val="00F153A0"/>
    <w:rsid w:val="00F153E6"/>
    <w:rsid w:val="00F15618"/>
    <w:rsid w:val="00F1571B"/>
    <w:rsid w:val="00F15787"/>
    <w:rsid w:val="00F15DE7"/>
    <w:rsid w:val="00F16286"/>
    <w:rsid w:val="00F202BE"/>
    <w:rsid w:val="00F206EE"/>
    <w:rsid w:val="00F213A5"/>
    <w:rsid w:val="00F214A0"/>
    <w:rsid w:val="00F21E63"/>
    <w:rsid w:val="00F2311A"/>
    <w:rsid w:val="00F23204"/>
    <w:rsid w:val="00F23BF8"/>
    <w:rsid w:val="00F251FB"/>
    <w:rsid w:val="00F2553D"/>
    <w:rsid w:val="00F25EE3"/>
    <w:rsid w:val="00F264D4"/>
    <w:rsid w:val="00F26A98"/>
    <w:rsid w:val="00F26C77"/>
    <w:rsid w:val="00F302A9"/>
    <w:rsid w:val="00F30937"/>
    <w:rsid w:val="00F30C87"/>
    <w:rsid w:val="00F31BBA"/>
    <w:rsid w:val="00F339C7"/>
    <w:rsid w:val="00F34126"/>
    <w:rsid w:val="00F3522E"/>
    <w:rsid w:val="00F3681E"/>
    <w:rsid w:val="00F36F59"/>
    <w:rsid w:val="00F3749A"/>
    <w:rsid w:val="00F4152C"/>
    <w:rsid w:val="00F41867"/>
    <w:rsid w:val="00F43366"/>
    <w:rsid w:val="00F44F77"/>
    <w:rsid w:val="00F45E32"/>
    <w:rsid w:val="00F466EF"/>
    <w:rsid w:val="00F46ADF"/>
    <w:rsid w:val="00F46B83"/>
    <w:rsid w:val="00F46DA2"/>
    <w:rsid w:val="00F47613"/>
    <w:rsid w:val="00F4790C"/>
    <w:rsid w:val="00F505D0"/>
    <w:rsid w:val="00F505E6"/>
    <w:rsid w:val="00F50883"/>
    <w:rsid w:val="00F50C95"/>
    <w:rsid w:val="00F521AD"/>
    <w:rsid w:val="00F524E4"/>
    <w:rsid w:val="00F52A47"/>
    <w:rsid w:val="00F53235"/>
    <w:rsid w:val="00F53F97"/>
    <w:rsid w:val="00F54059"/>
    <w:rsid w:val="00F5410C"/>
    <w:rsid w:val="00F5447A"/>
    <w:rsid w:val="00F54517"/>
    <w:rsid w:val="00F54C52"/>
    <w:rsid w:val="00F600C6"/>
    <w:rsid w:val="00F602E3"/>
    <w:rsid w:val="00F6044F"/>
    <w:rsid w:val="00F60E4B"/>
    <w:rsid w:val="00F6138B"/>
    <w:rsid w:val="00F621D5"/>
    <w:rsid w:val="00F63670"/>
    <w:rsid w:val="00F64748"/>
    <w:rsid w:val="00F64F76"/>
    <w:rsid w:val="00F65A31"/>
    <w:rsid w:val="00F661B0"/>
    <w:rsid w:val="00F704D3"/>
    <w:rsid w:val="00F70E58"/>
    <w:rsid w:val="00F71039"/>
    <w:rsid w:val="00F7119A"/>
    <w:rsid w:val="00F72225"/>
    <w:rsid w:val="00F72303"/>
    <w:rsid w:val="00F738D1"/>
    <w:rsid w:val="00F73F65"/>
    <w:rsid w:val="00F74023"/>
    <w:rsid w:val="00F76556"/>
    <w:rsid w:val="00F76E34"/>
    <w:rsid w:val="00F76FB6"/>
    <w:rsid w:val="00F77CD8"/>
    <w:rsid w:val="00F77DC6"/>
    <w:rsid w:val="00F77E54"/>
    <w:rsid w:val="00F80477"/>
    <w:rsid w:val="00F81036"/>
    <w:rsid w:val="00F8136A"/>
    <w:rsid w:val="00F81574"/>
    <w:rsid w:val="00F8167C"/>
    <w:rsid w:val="00F8173B"/>
    <w:rsid w:val="00F8285D"/>
    <w:rsid w:val="00F835A9"/>
    <w:rsid w:val="00F835E4"/>
    <w:rsid w:val="00F840AB"/>
    <w:rsid w:val="00F8430E"/>
    <w:rsid w:val="00F8476C"/>
    <w:rsid w:val="00F8492C"/>
    <w:rsid w:val="00F855BA"/>
    <w:rsid w:val="00F86600"/>
    <w:rsid w:val="00F86963"/>
    <w:rsid w:val="00F90461"/>
    <w:rsid w:val="00F90A8C"/>
    <w:rsid w:val="00F90FEE"/>
    <w:rsid w:val="00F91170"/>
    <w:rsid w:val="00F91656"/>
    <w:rsid w:val="00F9254D"/>
    <w:rsid w:val="00F93201"/>
    <w:rsid w:val="00F94627"/>
    <w:rsid w:val="00F94BC7"/>
    <w:rsid w:val="00F95431"/>
    <w:rsid w:val="00F96113"/>
    <w:rsid w:val="00F96CDD"/>
    <w:rsid w:val="00F975B5"/>
    <w:rsid w:val="00F97B45"/>
    <w:rsid w:val="00F97FB1"/>
    <w:rsid w:val="00FA00FF"/>
    <w:rsid w:val="00FA0657"/>
    <w:rsid w:val="00FA1ED8"/>
    <w:rsid w:val="00FA3C9A"/>
    <w:rsid w:val="00FA3FC0"/>
    <w:rsid w:val="00FA49AB"/>
    <w:rsid w:val="00FA5C2F"/>
    <w:rsid w:val="00FA6533"/>
    <w:rsid w:val="00FA69FE"/>
    <w:rsid w:val="00FA7424"/>
    <w:rsid w:val="00FA7C1C"/>
    <w:rsid w:val="00FB04BE"/>
    <w:rsid w:val="00FB07AE"/>
    <w:rsid w:val="00FB0ACA"/>
    <w:rsid w:val="00FB1367"/>
    <w:rsid w:val="00FB15F4"/>
    <w:rsid w:val="00FB2278"/>
    <w:rsid w:val="00FB3837"/>
    <w:rsid w:val="00FB3F85"/>
    <w:rsid w:val="00FB415F"/>
    <w:rsid w:val="00FB50E5"/>
    <w:rsid w:val="00FB5456"/>
    <w:rsid w:val="00FB5A71"/>
    <w:rsid w:val="00FB5C29"/>
    <w:rsid w:val="00FB5ECE"/>
    <w:rsid w:val="00FB6242"/>
    <w:rsid w:val="00FC036B"/>
    <w:rsid w:val="00FC1381"/>
    <w:rsid w:val="00FC2A57"/>
    <w:rsid w:val="00FC2F22"/>
    <w:rsid w:val="00FC3372"/>
    <w:rsid w:val="00FC406B"/>
    <w:rsid w:val="00FC6A0A"/>
    <w:rsid w:val="00FC6B0A"/>
    <w:rsid w:val="00FC7CA3"/>
    <w:rsid w:val="00FD036D"/>
    <w:rsid w:val="00FD0441"/>
    <w:rsid w:val="00FD12F3"/>
    <w:rsid w:val="00FD18F2"/>
    <w:rsid w:val="00FD3F4C"/>
    <w:rsid w:val="00FD4BA3"/>
    <w:rsid w:val="00FD5ED2"/>
    <w:rsid w:val="00FD647A"/>
    <w:rsid w:val="00FD66B5"/>
    <w:rsid w:val="00FD6B20"/>
    <w:rsid w:val="00FD7144"/>
    <w:rsid w:val="00FE0111"/>
    <w:rsid w:val="00FE0BBD"/>
    <w:rsid w:val="00FE11EB"/>
    <w:rsid w:val="00FE3948"/>
    <w:rsid w:val="00FE4541"/>
    <w:rsid w:val="00FE4CD2"/>
    <w:rsid w:val="00FE4DE9"/>
    <w:rsid w:val="00FE4E92"/>
    <w:rsid w:val="00FE531D"/>
    <w:rsid w:val="00FE5A5B"/>
    <w:rsid w:val="00FE63BB"/>
    <w:rsid w:val="00FE64EE"/>
    <w:rsid w:val="00FE6B7C"/>
    <w:rsid w:val="00FE6D82"/>
    <w:rsid w:val="00FF1383"/>
    <w:rsid w:val="00FF188B"/>
    <w:rsid w:val="00FF1BDB"/>
    <w:rsid w:val="00FF2008"/>
    <w:rsid w:val="00FF2066"/>
    <w:rsid w:val="00FF20A0"/>
    <w:rsid w:val="00FF24CA"/>
    <w:rsid w:val="00FF2A0C"/>
    <w:rsid w:val="00FF3499"/>
    <w:rsid w:val="00FF52E5"/>
    <w:rsid w:val="00FF5B86"/>
    <w:rsid w:val="00FF5FD1"/>
    <w:rsid w:val="00FF6372"/>
    <w:rsid w:val="00FF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Firs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631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E021F"/>
    <w:pPr>
      <w:ind w:left="720"/>
    </w:pPr>
  </w:style>
  <w:style w:type="paragraph" w:styleId="a4">
    <w:name w:val="Balloon Text"/>
    <w:basedOn w:val="a"/>
    <w:link w:val="a5"/>
    <w:uiPriority w:val="99"/>
    <w:semiHidden/>
    <w:rsid w:val="001C7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C7552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rsid w:val="00B16B33"/>
  </w:style>
  <w:style w:type="paragraph" w:customStyle="1" w:styleId="a7">
    <w:name w:val="Базовый"/>
    <w:uiPriority w:val="99"/>
    <w:rsid w:val="00B16B33"/>
    <w:pPr>
      <w:tabs>
        <w:tab w:val="left" w:pos="708"/>
      </w:tabs>
      <w:suppressAutoHyphens/>
      <w:spacing w:line="100" w:lineRule="atLeast"/>
    </w:pPr>
  </w:style>
  <w:style w:type="paragraph" w:styleId="a8">
    <w:name w:val="header"/>
    <w:basedOn w:val="a"/>
    <w:link w:val="a9"/>
    <w:uiPriority w:val="99"/>
    <w:rsid w:val="00BF7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F7A73"/>
  </w:style>
  <w:style w:type="paragraph" w:styleId="aa">
    <w:name w:val="footer"/>
    <w:basedOn w:val="a"/>
    <w:link w:val="ab"/>
    <w:uiPriority w:val="99"/>
    <w:rsid w:val="00BF7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BF7A73"/>
  </w:style>
  <w:style w:type="paragraph" w:customStyle="1" w:styleId="1">
    <w:name w:val="Обычный1"/>
    <w:uiPriority w:val="99"/>
    <w:rsid w:val="003576D9"/>
  </w:style>
  <w:style w:type="paragraph" w:styleId="ac">
    <w:name w:val="Body Text"/>
    <w:basedOn w:val="a"/>
    <w:link w:val="ad"/>
    <w:uiPriority w:val="99"/>
    <w:rsid w:val="003576D9"/>
    <w:pPr>
      <w:spacing w:after="120" w:line="240" w:lineRule="auto"/>
    </w:pPr>
    <w:rPr>
      <w:rFonts w:cs="Times New Roman"/>
      <w:sz w:val="24"/>
      <w:szCs w:val="24"/>
    </w:rPr>
  </w:style>
  <w:style w:type="character" w:customStyle="1" w:styleId="ad">
    <w:name w:val="Основной текст Знак"/>
    <w:link w:val="ac"/>
    <w:uiPriority w:val="99"/>
    <w:locked/>
    <w:rsid w:val="003576D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1"/>
    <w:next w:val="1"/>
    <w:uiPriority w:val="99"/>
    <w:rsid w:val="003576D9"/>
    <w:pPr>
      <w:keepNext/>
      <w:jc w:val="center"/>
    </w:pPr>
    <w:rPr>
      <w:b/>
      <w:bCs/>
      <w:sz w:val="28"/>
      <w:szCs w:val="28"/>
    </w:rPr>
  </w:style>
  <w:style w:type="paragraph" w:styleId="ae">
    <w:name w:val="Body Text Indent"/>
    <w:basedOn w:val="a"/>
    <w:link w:val="af"/>
    <w:uiPriority w:val="99"/>
    <w:semiHidden/>
    <w:rsid w:val="003576D9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locked/>
    <w:rsid w:val="003576D9"/>
  </w:style>
  <w:style w:type="paragraph" w:styleId="2">
    <w:name w:val="Body Text First Indent 2"/>
    <w:basedOn w:val="ae"/>
    <w:link w:val="20"/>
    <w:uiPriority w:val="99"/>
    <w:rsid w:val="003576D9"/>
    <w:pPr>
      <w:spacing w:line="240" w:lineRule="auto"/>
      <w:ind w:firstLine="210"/>
    </w:pPr>
    <w:rPr>
      <w:rFonts w:cs="Times New Roman"/>
      <w:sz w:val="24"/>
      <w:szCs w:val="24"/>
    </w:rPr>
  </w:style>
  <w:style w:type="character" w:customStyle="1" w:styleId="20">
    <w:name w:val="Красная строка 2 Знак"/>
    <w:link w:val="2"/>
    <w:uiPriority w:val="99"/>
    <w:locked/>
    <w:rsid w:val="003576D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1">
    <w:name w:val="Красная строка 21"/>
    <w:basedOn w:val="ae"/>
    <w:uiPriority w:val="99"/>
    <w:rsid w:val="003576D9"/>
    <w:pPr>
      <w:suppressAutoHyphens/>
      <w:spacing w:line="240" w:lineRule="auto"/>
      <w:ind w:firstLine="210"/>
    </w:pPr>
    <w:rPr>
      <w:rFonts w:cs="Times New Roman"/>
      <w:sz w:val="24"/>
      <w:szCs w:val="24"/>
      <w:lang w:eastAsia="zh-CN"/>
    </w:rPr>
  </w:style>
  <w:style w:type="paragraph" w:customStyle="1" w:styleId="ConsPlusTitle">
    <w:name w:val="ConsPlusTitle"/>
    <w:uiPriority w:val="99"/>
    <w:rsid w:val="00A977A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2">
    <w:name w:val="Основной текст (2)_"/>
    <w:link w:val="23"/>
    <w:uiPriority w:val="99"/>
    <w:locked/>
    <w:rsid w:val="00566871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566871"/>
    <w:pPr>
      <w:widowControl w:val="0"/>
      <w:shd w:val="clear" w:color="auto" w:fill="FFFFFF"/>
      <w:spacing w:before="300" w:after="0" w:line="326" w:lineRule="exact"/>
      <w:jc w:val="both"/>
    </w:pPr>
    <w:rPr>
      <w:sz w:val="28"/>
      <w:szCs w:val="28"/>
    </w:rPr>
  </w:style>
  <w:style w:type="paragraph" w:customStyle="1" w:styleId="NormalANX">
    <w:name w:val="NormalANX"/>
    <w:basedOn w:val="a"/>
    <w:uiPriority w:val="99"/>
    <w:rsid w:val="00566871"/>
    <w:pPr>
      <w:spacing w:before="240" w:after="240" w:line="360" w:lineRule="auto"/>
      <w:ind w:firstLine="720"/>
      <w:jc w:val="both"/>
    </w:pPr>
    <w:rPr>
      <w:rFonts w:cs="Times New Roman"/>
      <w:sz w:val="28"/>
      <w:szCs w:val="28"/>
    </w:rPr>
  </w:style>
  <w:style w:type="paragraph" w:customStyle="1" w:styleId="24">
    <w:name w:val="Обычный2"/>
    <w:uiPriority w:val="99"/>
    <w:rsid w:val="00EF51B0"/>
  </w:style>
  <w:style w:type="character" w:styleId="af0">
    <w:name w:val="annotation reference"/>
    <w:uiPriority w:val="99"/>
    <w:semiHidden/>
    <w:rsid w:val="00DC2D4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rsid w:val="00DC2D4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semiHidden/>
    <w:locked/>
    <w:rsid w:val="00DC2D44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rsid w:val="00DC2D44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locked/>
    <w:rsid w:val="00DC2D44"/>
    <w:rPr>
      <w:b/>
      <w:bCs/>
      <w:sz w:val="20"/>
      <w:szCs w:val="20"/>
    </w:rPr>
  </w:style>
  <w:style w:type="paragraph" w:customStyle="1" w:styleId="ConsPlusNormal">
    <w:name w:val="ConsPlusNormal"/>
    <w:uiPriority w:val="99"/>
    <w:rsid w:val="008A19B6"/>
    <w:pPr>
      <w:autoSpaceDE w:val="0"/>
      <w:autoSpaceDN w:val="0"/>
      <w:adjustRightInd w:val="0"/>
    </w:pPr>
    <w:rPr>
      <w:sz w:val="28"/>
      <w:szCs w:val="28"/>
    </w:rPr>
  </w:style>
  <w:style w:type="paragraph" w:styleId="af5">
    <w:name w:val="Revision"/>
    <w:hidden/>
    <w:uiPriority w:val="99"/>
    <w:semiHidden/>
    <w:rsid w:val="00FF2A0C"/>
    <w:rPr>
      <w:rFonts w:cs="Calibri"/>
      <w:sz w:val="22"/>
      <w:szCs w:val="22"/>
    </w:rPr>
  </w:style>
  <w:style w:type="paragraph" w:customStyle="1" w:styleId="af6">
    <w:name w:val="Íîðìàëüíûé"/>
    <w:uiPriority w:val="99"/>
    <w:rsid w:val="00DC3AD6"/>
    <w:pPr>
      <w:widowControl w:val="0"/>
      <w:suppressAutoHyphens/>
      <w:autoSpaceDE w:val="0"/>
    </w:pPr>
    <w:rPr>
      <w:color w:val="000000"/>
      <w:lang w:eastAsia="en-US"/>
    </w:rPr>
  </w:style>
  <w:style w:type="paragraph" w:customStyle="1" w:styleId="3">
    <w:name w:val="Обычный3"/>
    <w:uiPriority w:val="99"/>
    <w:rsid w:val="00DC3AD6"/>
  </w:style>
  <w:style w:type="paragraph" w:customStyle="1" w:styleId="4">
    <w:name w:val="Обычный4"/>
    <w:uiPriority w:val="99"/>
    <w:rsid w:val="007B726E"/>
  </w:style>
  <w:style w:type="paragraph" w:customStyle="1" w:styleId="5">
    <w:name w:val="Обычный5"/>
    <w:uiPriority w:val="99"/>
    <w:rsid w:val="00C83E43"/>
  </w:style>
  <w:style w:type="paragraph" w:customStyle="1" w:styleId="12">
    <w:name w:val="Заголовок 12"/>
    <w:basedOn w:val="5"/>
    <w:next w:val="5"/>
    <w:uiPriority w:val="99"/>
    <w:rsid w:val="00C83E43"/>
    <w:pPr>
      <w:keepNext/>
      <w:jc w:val="center"/>
    </w:pPr>
    <w:rPr>
      <w:b/>
      <w:bCs/>
      <w:sz w:val="28"/>
      <w:szCs w:val="28"/>
    </w:rPr>
  </w:style>
  <w:style w:type="paragraph" w:styleId="af7">
    <w:name w:val="No Spacing"/>
    <w:uiPriority w:val="99"/>
    <w:qFormat/>
    <w:rsid w:val="00D418D2"/>
    <w:rPr>
      <w:rFonts w:cs="Calibri"/>
      <w:sz w:val="22"/>
      <w:szCs w:val="22"/>
    </w:rPr>
  </w:style>
  <w:style w:type="numbering" w:customStyle="1" w:styleId="10">
    <w:name w:val="Нет списка1"/>
    <w:next w:val="a2"/>
    <w:uiPriority w:val="99"/>
    <w:semiHidden/>
    <w:unhideWhenUsed/>
    <w:rsid w:val="006166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2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2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2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2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2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2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C0E5C-CE43-433C-BD65-D3B109524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2231</TotalTime>
  <Pages>9</Pages>
  <Words>3737</Words>
  <Characters>21302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НАБИРУХИНА</cp:lastModifiedBy>
  <cp:revision>832</cp:revision>
  <cp:lastPrinted>2019-11-07T11:46:00Z</cp:lastPrinted>
  <dcterms:created xsi:type="dcterms:W3CDTF">2017-11-09T14:17:00Z</dcterms:created>
  <dcterms:modified xsi:type="dcterms:W3CDTF">2019-12-23T14:10:00Z</dcterms:modified>
</cp:coreProperties>
</file>