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BB4300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FE2475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от  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21 февраля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2019   № 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36-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C6A99">
        <w:rPr>
          <w:rFonts w:ascii="Times New Roman" w:eastAsia="Times New Roman" w:hAnsi="Times New Roman" w:cs="Times New Roman"/>
          <w:sz w:val="28"/>
          <w:szCs w:val="28"/>
        </w:rPr>
        <w:t>9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BB4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BB4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BB43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8"/>
        <w:gridCol w:w="882"/>
        <w:gridCol w:w="1725"/>
        <w:gridCol w:w="746"/>
        <w:gridCol w:w="1656"/>
      </w:tblGrid>
      <w:tr w:rsidR="00FF3CF2" w:rsidRPr="00FF3CF2" w:rsidTr="00260998">
        <w:trPr>
          <w:trHeight w:val="20"/>
        </w:trPr>
        <w:tc>
          <w:tcPr>
            <w:tcW w:w="2529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85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F3CF2" w:rsidRPr="00FF3CF2" w:rsidTr="00260998">
        <w:trPr>
          <w:trHeight w:val="20"/>
        </w:trPr>
        <w:tc>
          <w:tcPr>
            <w:tcW w:w="2529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846 706,1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529 403,0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50 958,6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2 697,8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2 697,8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2 697,8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D52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D52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D52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D52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</w:t>
            </w:r>
            <w:r w:rsidR="00D52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азования и молодежной политики»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1100384210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47 778,2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1100384210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47 778,2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1100384210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47 778,2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D52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D52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D52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D52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D52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482,6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482,6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482,6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30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30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Современная школа</w:t>
            </w:r>
            <w:r w:rsidR="0030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367 580,3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30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 на условиях </w:t>
            </w:r>
            <w:proofErr w:type="spellStart"/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 (строительство объекта </w:t>
            </w:r>
            <w:r w:rsidR="0030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Общеобразовательная школа на 1100 мест в микрорайоне </w:t>
            </w:r>
            <w:proofErr w:type="spellStart"/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Горроща</w:t>
            </w:r>
            <w:proofErr w:type="spellEnd"/>
            <w:r w:rsidR="0030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110E155202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367 580,3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110E155202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367 580,3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110E155202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367 580,3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30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30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занятости женщин - создание условий дошкольного образования для детей в возрасте до трех лет</w:t>
            </w:r>
            <w:r w:rsidR="0030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110 864,1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на условиях </w:t>
            </w:r>
            <w:proofErr w:type="spellStart"/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110P251590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110 864,1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110P251590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110 864,1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110P251590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110 864,1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292 507,6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E20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10 767,</w:t>
            </w:r>
            <w:r w:rsidR="00E20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E20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10 767,</w:t>
            </w:r>
            <w:r w:rsidR="00E20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E20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10 767,</w:t>
            </w:r>
            <w:r w:rsidR="00E20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E20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10 767,</w:t>
            </w:r>
            <w:r w:rsidR="00E20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30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30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Жилье</w:t>
            </w:r>
            <w:r w:rsidR="0030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241 533,7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30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Стимулирование </w:t>
            </w:r>
            <w:proofErr w:type="gramStart"/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федерального бюджета (строительство объекта </w:t>
            </w:r>
            <w:r w:rsidR="0030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на 220 мест по ул. Зубковой г. Рязани</w:t>
            </w:r>
            <w:r w:rsidR="0030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241 533,7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241 533,7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241 533,7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20 576,8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2017 - 2022 годы»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20 576,8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20 576,8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20 576,8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20 576,8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4 184,0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224 891,6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136 231,0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4 009,6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1 925,7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1 925,7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1 925,7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59 325,5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CE0D0F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(возмещение) затрат на содержание и ремонт общего имущества МКД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3 640,4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3 640,4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3 640,4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590,7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590,7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590,7</w:t>
            </w:r>
          </w:p>
        </w:tc>
      </w:tr>
      <w:tr w:rsidR="00CE28FB" w:rsidRPr="00487F8A" w:rsidTr="00CE28FB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8FB" w:rsidRPr="00B151F8" w:rsidRDefault="00CE28FB" w:rsidP="00CE2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1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8FB" w:rsidRPr="00B151F8" w:rsidRDefault="00CE28FB" w:rsidP="00CE28FB">
            <w:pPr>
              <w:jc w:val="center"/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8FB" w:rsidRPr="00B151F8" w:rsidRDefault="00CE28FB" w:rsidP="00CE2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1F8">
              <w:rPr>
                <w:rFonts w:ascii="Times New Roman" w:hAnsi="Times New Roman" w:cs="Times New Roman"/>
                <w:sz w:val="28"/>
                <w:szCs w:val="28"/>
              </w:rPr>
              <w:t>1600240480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8FB" w:rsidRPr="00B151F8" w:rsidRDefault="00CE28FB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8FB" w:rsidRPr="00B151F8" w:rsidRDefault="00CE28FB" w:rsidP="00CE28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51F8">
              <w:rPr>
                <w:rFonts w:ascii="Times New Roman" w:hAnsi="Times New Roman" w:cs="Times New Roman"/>
                <w:sz w:val="28"/>
                <w:szCs w:val="28"/>
              </w:rPr>
              <w:t>842,0</w:t>
            </w:r>
          </w:p>
        </w:tc>
      </w:tr>
      <w:tr w:rsidR="00CE28FB" w:rsidRPr="00487F8A" w:rsidTr="00CE28FB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8FB" w:rsidRPr="00B151F8" w:rsidRDefault="00CE28FB" w:rsidP="00CE2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1F8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(возмещение) затрат по капитальному ремонту многоквартирных домов в части благоустройства придомовой территории 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8FB" w:rsidRPr="00B151F8" w:rsidRDefault="00CE28FB" w:rsidP="00CE28FB">
            <w:pPr>
              <w:jc w:val="center"/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8FB" w:rsidRPr="00B151F8" w:rsidRDefault="00CE28FB" w:rsidP="00CE2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1F8">
              <w:rPr>
                <w:rFonts w:ascii="Times New Roman" w:hAnsi="Times New Roman" w:cs="Times New Roman"/>
                <w:sz w:val="28"/>
                <w:szCs w:val="28"/>
              </w:rPr>
              <w:t>1600240490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8FB" w:rsidRPr="00B151F8" w:rsidRDefault="00CE28FB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8FB" w:rsidRPr="00B151F8" w:rsidRDefault="00CE28FB" w:rsidP="00CE28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51F8">
              <w:rPr>
                <w:rFonts w:ascii="Times New Roman" w:hAnsi="Times New Roman" w:cs="Times New Roman"/>
                <w:sz w:val="28"/>
                <w:szCs w:val="28"/>
              </w:rPr>
              <w:t>8420,0</w:t>
            </w:r>
          </w:p>
        </w:tc>
      </w:tr>
      <w:tr w:rsidR="00CE28FB" w:rsidRPr="00487F8A" w:rsidTr="00CE28FB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8FB" w:rsidRPr="00B151F8" w:rsidRDefault="00CE28FB" w:rsidP="00CE2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1F8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8FB" w:rsidRPr="00B151F8" w:rsidRDefault="00CE28FB" w:rsidP="00CE28FB">
            <w:pPr>
              <w:jc w:val="center"/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8FB" w:rsidRPr="00B151F8" w:rsidRDefault="00CE28FB" w:rsidP="00CE2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1F8">
              <w:rPr>
                <w:rFonts w:ascii="Times New Roman" w:hAnsi="Times New Roman" w:cs="Times New Roman"/>
                <w:sz w:val="28"/>
                <w:szCs w:val="28"/>
              </w:rPr>
              <w:t>1600240520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8FB" w:rsidRPr="00B151F8" w:rsidRDefault="00CE28FB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8FB" w:rsidRPr="00B151F8" w:rsidRDefault="00CE28FB" w:rsidP="00CE28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51F8">
              <w:rPr>
                <w:rFonts w:ascii="Times New Roman" w:hAnsi="Times New Roman" w:cs="Times New Roman"/>
                <w:sz w:val="28"/>
                <w:szCs w:val="28"/>
              </w:rPr>
              <w:t>842,0</w:t>
            </w:r>
          </w:p>
        </w:tc>
      </w:tr>
      <w:tr w:rsidR="00CE28FB" w:rsidRPr="00487F8A" w:rsidTr="00CE28FB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8FB" w:rsidRPr="00B151F8" w:rsidRDefault="00CE28FB" w:rsidP="00CE2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1F8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8FB" w:rsidRPr="00B151F8" w:rsidRDefault="00CE28FB" w:rsidP="00CE28FB">
            <w:pPr>
              <w:jc w:val="center"/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8FB" w:rsidRPr="00B151F8" w:rsidRDefault="00CE28FB" w:rsidP="00CE2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1F8">
              <w:rPr>
                <w:rFonts w:ascii="Times New Roman" w:hAnsi="Times New Roman" w:cs="Times New Roman"/>
                <w:sz w:val="28"/>
                <w:szCs w:val="28"/>
              </w:rPr>
              <w:t>1600240530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8FB" w:rsidRPr="00B151F8" w:rsidRDefault="00CE28FB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8FB" w:rsidRPr="00B151F8" w:rsidRDefault="00CE28FB" w:rsidP="00CE28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51F8">
              <w:rPr>
                <w:rFonts w:ascii="Times New Roman" w:hAnsi="Times New Roman" w:cs="Times New Roman"/>
                <w:sz w:val="28"/>
                <w:szCs w:val="28"/>
              </w:rPr>
              <w:t>842,0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16 010,4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мониторинг и актуализация схемы теплоснабжения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управления энергетики и жилищно-коммунального </w:t>
            </w: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хозяйства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49 090,9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48 801,8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3 594,5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3 594,5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289,1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289,1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289,1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Управление </w:t>
            </w:r>
            <w:proofErr w:type="gramStart"/>
            <w:r w:rsidRPr="00B151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878 359,9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«Благоустройство города Рязани» 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686 892,0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415 233,1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415 233,1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27 810,0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27 810,0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141 763,9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86 998,7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76 652,0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25 983,9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25 983,9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B151F8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50 668,1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50 668,1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30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приоритетного проекта </w:t>
            </w:r>
            <w:r w:rsidR="0030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дороги</w:t>
            </w:r>
            <w:r w:rsidR="0030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18001Я3900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8 794,0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18001Я3900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8 794,0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18001Я3900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8 794,0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30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30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</w:t>
            </w:r>
            <w:r w:rsidR="0030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30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«Дорожное хозяйство и транспорт»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1 552,7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1 552,7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1 552,7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53 184,7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39 796,9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39 796,9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39 796,9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30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30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современной городской среды города Рязани</w:t>
            </w:r>
            <w:r w:rsidR="0030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2018 - 2022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46 573,5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7 500,0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7 500,0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7 500,0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7 500,0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39 073,5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39 073,5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19 300,0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19 300,0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19 773,5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19 773,5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1 306 048,2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715 191,8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232 448,2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43 563,2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1 097,4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1 097,4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95 569,9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95 569,9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95 569,9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95 569,9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689 887,3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«Культура города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687 741,6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22 214,8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22 214,8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22 214,8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22 214,8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144 527,2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144 527,2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144 527,2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144 527,2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2 065,0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24 635,5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7 004,2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7 004,2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7 004,2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80 958,7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1 181,5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1 124,2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1 124,2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1 124,2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1 124,2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70 515,2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«Повышение эффективности управления муниципальными финансами» на 2018 - 2022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70 515,2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66 922,2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16 604,2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16 604,2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588,4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588,4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</w:tr>
      <w:tr w:rsidR="00487F8A" w:rsidRPr="00487F8A" w:rsidTr="00487F8A">
        <w:trPr>
          <w:trHeight w:val="20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8A" w:rsidRPr="00487F8A" w:rsidRDefault="00487F8A" w:rsidP="00487F8A">
            <w:pPr>
              <w:spacing w:after="0" w:line="240" w:lineRule="auto"/>
              <w:ind w:left="-11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F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10 183 564,8</w:t>
            </w:r>
          </w:p>
        </w:tc>
      </w:tr>
    </w:tbl>
    <w:p w:rsidR="006E1594" w:rsidRPr="00A079AC" w:rsidRDefault="004C4F45" w:rsidP="00487F8A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FF3CF2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7D6" w:rsidRDefault="00D617D6" w:rsidP="00F52255">
      <w:pPr>
        <w:spacing w:after="0" w:line="240" w:lineRule="auto"/>
      </w:pPr>
      <w:r>
        <w:separator/>
      </w:r>
    </w:p>
  </w:endnote>
  <w:endnote w:type="continuationSeparator" w:id="0">
    <w:p w:rsidR="00D617D6" w:rsidRDefault="00D617D6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E2475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7D6" w:rsidRDefault="00D617D6" w:rsidP="00F52255">
      <w:pPr>
        <w:spacing w:after="0" w:line="240" w:lineRule="auto"/>
      </w:pPr>
      <w:r>
        <w:separator/>
      </w:r>
    </w:p>
  </w:footnote>
  <w:footnote w:type="continuationSeparator" w:id="0">
    <w:p w:rsidR="00D617D6" w:rsidRDefault="00D617D6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31CA"/>
    <w:rsid w:val="00041032"/>
    <w:rsid w:val="00050843"/>
    <w:rsid w:val="00050890"/>
    <w:rsid w:val="0006665C"/>
    <w:rsid w:val="00095503"/>
    <w:rsid w:val="000A00D9"/>
    <w:rsid w:val="000A70CD"/>
    <w:rsid w:val="000C3128"/>
    <w:rsid w:val="000E3CAD"/>
    <w:rsid w:val="00104D54"/>
    <w:rsid w:val="00126C3F"/>
    <w:rsid w:val="001577FC"/>
    <w:rsid w:val="001A58DA"/>
    <w:rsid w:val="00205602"/>
    <w:rsid w:val="00227372"/>
    <w:rsid w:val="00230F34"/>
    <w:rsid w:val="0023635B"/>
    <w:rsid w:val="00260998"/>
    <w:rsid w:val="002911BC"/>
    <w:rsid w:val="002A64B1"/>
    <w:rsid w:val="002B77C5"/>
    <w:rsid w:val="00300DDF"/>
    <w:rsid w:val="00345C40"/>
    <w:rsid w:val="00370557"/>
    <w:rsid w:val="0038438B"/>
    <w:rsid w:val="00396EDD"/>
    <w:rsid w:val="003E2EEE"/>
    <w:rsid w:val="00421E1D"/>
    <w:rsid w:val="0043516E"/>
    <w:rsid w:val="00435839"/>
    <w:rsid w:val="00441A6F"/>
    <w:rsid w:val="00446543"/>
    <w:rsid w:val="00484C69"/>
    <w:rsid w:val="00487B55"/>
    <w:rsid w:val="00487F8A"/>
    <w:rsid w:val="00491CE7"/>
    <w:rsid w:val="004C0861"/>
    <w:rsid w:val="004C4F45"/>
    <w:rsid w:val="004D434A"/>
    <w:rsid w:val="004E6FCA"/>
    <w:rsid w:val="00527244"/>
    <w:rsid w:val="00553170"/>
    <w:rsid w:val="00556371"/>
    <w:rsid w:val="00567D24"/>
    <w:rsid w:val="00583174"/>
    <w:rsid w:val="0058519A"/>
    <w:rsid w:val="005A02D3"/>
    <w:rsid w:val="005A1F6B"/>
    <w:rsid w:val="005A4FC6"/>
    <w:rsid w:val="005E338F"/>
    <w:rsid w:val="005F64BD"/>
    <w:rsid w:val="00604A63"/>
    <w:rsid w:val="00614FE4"/>
    <w:rsid w:val="006301C8"/>
    <w:rsid w:val="00631FD2"/>
    <w:rsid w:val="006378CF"/>
    <w:rsid w:val="0066241E"/>
    <w:rsid w:val="0067719F"/>
    <w:rsid w:val="00686A97"/>
    <w:rsid w:val="006E1594"/>
    <w:rsid w:val="006E4CE4"/>
    <w:rsid w:val="006F2504"/>
    <w:rsid w:val="00717CC0"/>
    <w:rsid w:val="007258B8"/>
    <w:rsid w:val="00773588"/>
    <w:rsid w:val="00781CCD"/>
    <w:rsid w:val="0078469D"/>
    <w:rsid w:val="007A4F3C"/>
    <w:rsid w:val="007A5676"/>
    <w:rsid w:val="007C7CAD"/>
    <w:rsid w:val="007E740B"/>
    <w:rsid w:val="007E78A5"/>
    <w:rsid w:val="007F51A3"/>
    <w:rsid w:val="00815292"/>
    <w:rsid w:val="00822938"/>
    <w:rsid w:val="008365DF"/>
    <w:rsid w:val="008500BA"/>
    <w:rsid w:val="008863B3"/>
    <w:rsid w:val="008A51DF"/>
    <w:rsid w:val="008B0BAE"/>
    <w:rsid w:val="008B0FA9"/>
    <w:rsid w:val="008C493D"/>
    <w:rsid w:val="008C4B9D"/>
    <w:rsid w:val="008D52C8"/>
    <w:rsid w:val="008F0E2F"/>
    <w:rsid w:val="00903753"/>
    <w:rsid w:val="00911334"/>
    <w:rsid w:val="00936670"/>
    <w:rsid w:val="00951289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79AC"/>
    <w:rsid w:val="00A11965"/>
    <w:rsid w:val="00A12B21"/>
    <w:rsid w:val="00A241E6"/>
    <w:rsid w:val="00A514F3"/>
    <w:rsid w:val="00A524D1"/>
    <w:rsid w:val="00A64B56"/>
    <w:rsid w:val="00A676BD"/>
    <w:rsid w:val="00A67C5F"/>
    <w:rsid w:val="00A853E6"/>
    <w:rsid w:val="00AA2B0C"/>
    <w:rsid w:val="00AC6008"/>
    <w:rsid w:val="00AC608D"/>
    <w:rsid w:val="00AF7071"/>
    <w:rsid w:val="00AF7248"/>
    <w:rsid w:val="00B133F7"/>
    <w:rsid w:val="00B151F8"/>
    <w:rsid w:val="00B44669"/>
    <w:rsid w:val="00B44D96"/>
    <w:rsid w:val="00B54C29"/>
    <w:rsid w:val="00B62891"/>
    <w:rsid w:val="00B74CC3"/>
    <w:rsid w:val="00B850FE"/>
    <w:rsid w:val="00B946AA"/>
    <w:rsid w:val="00B94A52"/>
    <w:rsid w:val="00BB3933"/>
    <w:rsid w:val="00BB4300"/>
    <w:rsid w:val="00BD24ED"/>
    <w:rsid w:val="00BE6966"/>
    <w:rsid w:val="00BF129C"/>
    <w:rsid w:val="00C04BB0"/>
    <w:rsid w:val="00C1575C"/>
    <w:rsid w:val="00C16B56"/>
    <w:rsid w:val="00C32D5F"/>
    <w:rsid w:val="00C4099D"/>
    <w:rsid w:val="00C41600"/>
    <w:rsid w:val="00C43D37"/>
    <w:rsid w:val="00C4450D"/>
    <w:rsid w:val="00C44C4E"/>
    <w:rsid w:val="00C57D9B"/>
    <w:rsid w:val="00C94578"/>
    <w:rsid w:val="00C95F3D"/>
    <w:rsid w:val="00CD6538"/>
    <w:rsid w:val="00CE0D0F"/>
    <w:rsid w:val="00CE28FB"/>
    <w:rsid w:val="00CF6F46"/>
    <w:rsid w:val="00D36D6A"/>
    <w:rsid w:val="00D523AF"/>
    <w:rsid w:val="00D57D9F"/>
    <w:rsid w:val="00D617D6"/>
    <w:rsid w:val="00D64F5F"/>
    <w:rsid w:val="00D725B1"/>
    <w:rsid w:val="00D90978"/>
    <w:rsid w:val="00D96734"/>
    <w:rsid w:val="00DB022C"/>
    <w:rsid w:val="00DC38BA"/>
    <w:rsid w:val="00DD34A8"/>
    <w:rsid w:val="00DF1E74"/>
    <w:rsid w:val="00E10850"/>
    <w:rsid w:val="00E20370"/>
    <w:rsid w:val="00E37434"/>
    <w:rsid w:val="00E52D02"/>
    <w:rsid w:val="00E60A7A"/>
    <w:rsid w:val="00E91AF3"/>
    <w:rsid w:val="00EC2E30"/>
    <w:rsid w:val="00ED0F17"/>
    <w:rsid w:val="00EE1C7F"/>
    <w:rsid w:val="00F1274D"/>
    <w:rsid w:val="00F40F5E"/>
    <w:rsid w:val="00F4130E"/>
    <w:rsid w:val="00F42135"/>
    <w:rsid w:val="00F470C0"/>
    <w:rsid w:val="00F503C7"/>
    <w:rsid w:val="00F52255"/>
    <w:rsid w:val="00F6292C"/>
    <w:rsid w:val="00F8467D"/>
    <w:rsid w:val="00F87CFD"/>
    <w:rsid w:val="00FE2475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D8082-0F88-4003-A776-EE94E4BB6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11</Pages>
  <Words>2590</Words>
  <Characters>14765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99</cp:revision>
  <cp:lastPrinted>2019-02-12T11:46:00Z</cp:lastPrinted>
  <dcterms:created xsi:type="dcterms:W3CDTF">2016-12-21T15:38:00Z</dcterms:created>
  <dcterms:modified xsi:type="dcterms:W3CDTF">2019-04-05T09:32:00Z</dcterms:modified>
</cp:coreProperties>
</file>